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360" w:lineRule="auto"/>
        <w:jc w:val="center"/>
        <w:rPr>
          <w:rFonts w:ascii="仿宋_GB2312" w:hAnsi="华文中宋" w:eastAsia="仿宋_GB2312" w:cs="Times New Roman"/>
          <w:b/>
          <w:bCs/>
          <w:sz w:val="28"/>
          <w:szCs w:val="28"/>
        </w:rPr>
      </w:pPr>
      <w:r>
        <w:rPr>
          <w:rFonts w:hint="eastAsia" w:ascii="仿宋_GB2312" w:hAnsi="华文中宋" w:eastAsia="仿宋_GB2312" w:cs="Times New Roman"/>
          <w:b/>
          <w:bCs/>
          <w:sz w:val="28"/>
          <w:szCs w:val="28"/>
        </w:rPr>
        <w:t>关于举办第十四届山东省大学生</w:t>
      </w:r>
    </w:p>
    <w:p>
      <w:pPr>
        <w:spacing w:line="360" w:lineRule="auto"/>
        <w:jc w:val="center"/>
        <w:rPr>
          <w:rFonts w:ascii="仿宋_GB2312" w:hAnsi="华文中宋" w:eastAsia="仿宋_GB2312" w:cs="Times New Roman"/>
          <w:b/>
          <w:bCs/>
          <w:sz w:val="28"/>
          <w:szCs w:val="28"/>
        </w:rPr>
      </w:pPr>
      <w:r>
        <w:rPr>
          <w:rFonts w:hint="eastAsia" w:ascii="仿宋_GB2312" w:hAnsi="华文中宋" w:eastAsia="仿宋_GB2312" w:cs="Times New Roman"/>
          <w:b/>
          <w:bCs/>
          <w:sz w:val="28"/>
          <w:szCs w:val="28"/>
        </w:rPr>
        <w:t>科技文化艺术节原创短剧大赛的通知</w:t>
      </w:r>
      <w:bookmarkStart w:id="0" w:name="_GoBack"/>
      <w:bookmarkEnd w:id="0"/>
    </w:p>
    <w:p>
      <w:pPr>
        <w:spacing w:line="360" w:lineRule="auto"/>
        <w:jc w:val="center"/>
        <w:rPr>
          <w:rFonts w:ascii="仿宋_GB2312" w:hAnsi="华文中宋" w:eastAsia="仿宋_GB2312" w:cs="Times New Roman"/>
          <w:b/>
          <w:bCs/>
          <w:sz w:val="24"/>
          <w:szCs w:val="24"/>
        </w:rPr>
      </w:pPr>
    </w:p>
    <w:p>
      <w:pPr>
        <w:widowControl/>
        <w:spacing w:beforeLines="50" w:afterLines="50" w:line="360" w:lineRule="auto"/>
        <w:jc w:val="left"/>
        <w:rPr>
          <w:rFonts w:ascii="仿宋_GB2312" w:hAnsi="Arial" w:eastAsia="仿宋_GB2312" w:cs="Arial"/>
          <w:b/>
          <w:color w:val="000000"/>
          <w:kern w:val="0"/>
          <w:sz w:val="24"/>
          <w:szCs w:val="24"/>
        </w:rPr>
      </w:pPr>
      <w:r>
        <w:rPr>
          <w:rFonts w:hint="eastAsia" w:ascii="仿宋_GB2312" w:hAnsi="Arial" w:eastAsia="仿宋_GB2312" w:cs="Arial"/>
          <w:b/>
          <w:color w:val="000000"/>
          <w:kern w:val="0"/>
          <w:sz w:val="24"/>
          <w:szCs w:val="24"/>
        </w:rPr>
        <w:t>各高等院校团委：</w:t>
      </w:r>
    </w:p>
    <w:p>
      <w:pPr>
        <w:widowControl/>
        <w:spacing w:beforeLines="50" w:afterLines="50" w:line="360" w:lineRule="auto"/>
        <w:ind w:firstLine="600" w:firstLineChars="250"/>
        <w:jc w:val="left"/>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为深入学习贯彻党的十八届三中、四中全会精神和习近平总书记系列重要讲话精神，大力弘扬中华优秀传统文化，培育和践行社会主义核心价值观，丰富大学生校园文化生活，提升校园文化活动品质，促进广大青年学生健康成长，特举办山东省大学生原创短剧大赛，具体事宜通知如下：</w:t>
      </w:r>
    </w:p>
    <w:p>
      <w:pPr>
        <w:widowControl/>
        <w:spacing w:beforeLines="50" w:afterLines="50" w:line="360" w:lineRule="auto"/>
        <w:ind w:firstLine="602" w:firstLineChars="250"/>
        <w:jc w:val="left"/>
        <w:rPr>
          <w:rFonts w:ascii="仿宋_GB2312" w:hAnsi="Arial" w:eastAsia="仿宋_GB2312" w:cs="Arial"/>
          <w:b/>
          <w:color w:val="000000"/>
          <w:kern w:val="0"/>
          <w:sz w:val="24"/>
          <w:szCs w:val="24"/>
        </w:rPr>
      </w:pPr>
      <w:r>
        <w:rPr>
          <w:rFonts w:hint="eastAsia" w:ascii="仿宋_GB2312" w:hAnsi="Arial" w:eastAsia="仿宋_GB2312" w:cs="Arial"/>
          <w:b/>
          <w:color w:val="000000"/>
          <w:kern w:val="0"/>
          <w:sz w:val="24"/>
          <w:szCs w:val="24"/>
        </w:rPr>
        <w:t xml:space="preserve">一、主办单位 </w:t>
      </w:r>
    </w:p>
    <w:p>
      <w:pPr>
        <w:widowControl/>
        <w:spacing w:beforeLines="50" w:afterLines="50" w:line="360" w:lineRule="auto"/>
        <w:ind w:firstLine="600" w:firstLineChars="250"/>
        <w:jc w:val="left"/>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省委宣传部、省委高校工委、团省委、省教育厅、省文化厅、省科协、省学联</w:t>
      </w:r>
    </w:p>
    <w:p>
      <w:pPr>
        <w:widowControl/>
        <w:spacing w:beforeLines="50" w:afterLines="50" w:line="360" w:lineRule="auto"/>
        <w:ind w:firstLine="602" w:firstLineChars="250"/>
        <w:jc w:val="left"/>
        <w:rPr>
          <w:rFonts w:ascii="仿宋_GB2312" w:hAnsi="Arial" w:eastAsia="仿宋_GB2312" w:cs="Arial"/>
          <w:b/>
          <w:color w:val="000000"/>
          <w:kern w:val="0"/>
          <w:sz w:val="24"/>
          <w:szCs w:val="24"/>
        </w:rPr>
      </w:pPr>
      <w:r>
        <w:rPr>
          <w:rFonts w:hint="eastAsia" w:ascii="仿宋_GB2312" w:hAnsi="Arial" w:eastAsia="仿宋_GB2312" w:cs="Arial"/>
          <w:b/>
          <w:color w:val="000000"/>
          <w:kern w:val="0"/>
          <w:sz w:val="24"/>
          <w:szCs w:val="24"/>
        </w:rPr>
        <w:t xml:space="preserve">二、承办单位 </w:t>
      </w:r>
    </w:p>
    <w:p>
      <w:pPr>
        <w:widowControl/>
        <w:spacing w:beforeLines="50" w:afterLines="50" w:line="360" w:lineRule="auto"/>
        <w:ind w:firstLine="600" w:firstLineChars="250"/>
        <w:jc w:val="left"/>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lang w:eastAsia="zh-CN"/>
        </w:rPr>
        <w:t>共青团</w:t>
      </w:r>
      <w:r>
        <w:rPr>
          <w:rFonts w:hint="eastAsia" w:ascii="仿宋_GB2312" w:hAnsi="Arial" w:eastAsia="仿宋_GB2312" w:cs="Arial"/>
          <w:color w:val="000000"/>
          <w:kern w:val="0"/>
          <w:sz w:val="24"/>
          <w:szCs w:val="24"/>
        </w:rPr>
        <w:t>山东大学（威海）</w:t>
      </w:r>
      <w:r>
        <w:rPr>
          <w:rFonts w:hint="eastAsia" w:ascii="仿宋_GB2312" w:hAnsi="Arial" w:eastAsia="仿宋_GB2312" w:cs="Arial"/>
          <w:color w:val="000000"/>
          <w:kern w:val="0"/>
          <w:sz w:val="24"/>
          <w:szCs w:val="24"/>
          <w:lang w:eastAsia="zh-CN"/>
        </w:rPr>
        <w:t>委员会</w:t>
      </w:r>
    </w:p>
    <w:p>
      <w:pPr>
        <w:widowControl/>
        <w:spacing w:beforeLines="50" w:afterLines="50" w:line="360" w:lineRule="auto"/>
        <w:ind w:firstLine="602" w:firstLineChars="250"/>
        <w:jc w:val="left"/>
        <w:rPr>
          <w:rFonts w:ascii="仿宋_GB2312" w:hAnsi="Arial" w:eastAsia="仿宋_GB2312" w:cs="Arial"/>
          <w:b/>
          <w:color w:val="000000"/>
          <w:kern w:val="0"/>
          <w:sz w:val="24"/>
          <w:szCs w:val="24"/>
        </w:rPr>
      </w:pPr>
      <w:r>
        <w:rPr>
          <w:rFonts w:hint="eastAsia" w:ascii="仿宋_GB2312" w:hAnsi="Arial" w:eastAsia="仿宋_GB2312" w:cs="Arial"/>
          <w:b/>
          <w:color w:val="000000"/>
          <w:kern w:val="0"/>
          <w:sz w:val="24"/>
          <w:szCs w:val="24"/>
        </w:rPr>
        <w:t xml:space="preserve">三、活动宗旨 </w:t>
      </w:r>
    </w:p>
    <w:p>
      <w:pPr>
        <w:widowControl/>
        <w:spacing w:beforeLines="50" w:afterLines="50" w:line="360" w:lineRule="auto"/>
        <w:ind w:firstLine="600" w:firstLineChars="250"/>
        <w:jc w:val="left"/>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大赛着力于弘扬中华优秀传统文化，彰显社会主义核心价值观，通过短剧表演的形式，展现出优秀传统文化对当代大学生的积极影响以及社会主义核心价值观的指引作用，让广大选手在比赛中体会和交流，提高自身综合能力。</w:t>
      </w:r>
    </w:p>
    <w:p>
      <w:pPr>
        <w:widowControl/>
        <w:spacing w:beforeLines="50" w:afterLines="50" w:line="360" w:lineRule="auto"/>
        <w:ind w:firstLine="590" w:firstLineChars="245"/>
        <w:jc w:val="left"/>
        <w:rPr>
          <w:rFonts w:ascii="仿宋_GB2312" w:hAnsi="Times New Roman" w:eastAsia="仿宋_GB2312" w:cs="Times New Roman"/>
          <w:b/>
          <w:kern w:val="0"/>
          <w:sz w:val="24"/>
          <w:szCs w:val="24"/>
        </w:rPr>
      </w:pPr>
      <w:r>
        <w:rPr>
          <w:rFonts w:hint="eastAsia" w:ascii="仿宋_GB2312" w:hAnsi="Times New Roman" w:eastAsia="仿宋_GB2312" w:cs="Times New Roman"/>
          <w:b/>
          <w:kern w:val="0"/>
          <w:sz w:val="24"/>
          <w:szCs w:val="24"/>
        </w:rPr>
        <w:t xml:space="preserve">四、活动主题 </w:t>
      </w:r>
    </w:p>
    <w:p>
      <w:pPr>
        <w:widowControl/>
        <w:spacing w:beforeLines="50" w:afterLines="50" w:line="360" w:lineRule="auto"/>
        <w:ind w:firstLine="588" w:firstLineChars="245"/>
        <w:jc w:val="left"/>
        <w:rPr>
          <w:rFonts w:ascii="仿宋_GB2312" w:hAnsi="Times New Roman" w:eastAsia="仿宋_GB2312" w:cs="Times New Roman"/>
          <w:b/>
          <w:kern w:val="0"/>
          <w:sz w:val="24"/>
          <w:szCs w:val="24"/>
        </w:rPr>
      </w:pPr>
      <w:r>
        <w:rPr>
          <w:rFonts w:hint="eastAsia" w:ascii="仿宋_GB2312" w:eastAsia="仿宋_GB2312"/>
          <w:color w:val="000000"/>
          <w:sz w:val="24"/>
          <w:szCs w:val="24"/>
        </w:rPr>
        <w:t>弘扬优秀传统文化，践行社会主义核心价值观</w:t>
      </w:r>
    </w:p>
    <w:p>
      <w:pPr>
        <w:widowControl/>
        <w:spacing w:beforeLines="50" w:afterLines="50" w:line="360" w:lineRule="auto"/>
        <w:ind w:firstLine="590" w:firstLineChars="245"/>
        <w:jc w:val="left"/>
        <w:rPr>
          <w:rFonts w:ascii="仿宋_GB2312" w:hAnsi="Times New Roman" w:eastAsia="仿宋_GB2312" w:cs="Times New Roman"/>
          <w:b/>
          <w:kern w:val="0"/>
          <w:sz w:val="24"/>
          <w:szCs w:val="24"/>
        </w:rPr>
      </w:pPr>
      <w:r>
        <w:rPr>
          <w:rFonts w:hint="eastAsia" w:ascii="仿宋_GB2312" w:hAnsi="Times New Roman" w:eastAsia="仿宋_GB2312" w:cs="Times New Roman"/>
          <w:b/>
          <w:kern w:val="0"/>
          <w:sz w:val="24"/>
          <w:szCs w:val="24"/>
        </w:rPr>
        <w:t xml:space="preserve">五、活动时间 </w:t>
      </w:r>
    </w:p>
    <w:p>
      <w:pPr>
        <w:widowControl/>
        <w:spacing w:beforeLines="50" w:afterLines="50" w:line="360" w:lineRule="auto"/>
        <w:ind w:firstLine="588" w:firstLineChars="245"/>
        <w:jc w:val="left"/>
        <w:rPr>
          <w:rFonts w:ascii="仿宋_GB2312" w:hAnsi="Times New Roman" w:eastAsia="仿宋_GB2312" w:cs="Times New Roman"/>
          <w:b/>
          <w:kern w:val="0"/>
          <w:sz w:val="24"/>
          <w:szCs w:val="24"/>
        </w:rPr>
      </w:pPr>
      <w:r>
        <w:rPr>
          <w:rFonts w:hint="eastAsia" w:ascii="仿宋_GB2312" w:hAnsi="Arial" w:eastAsia="仿宋_GB2312" w:cs="Arial"/>
          <w:color w:val="000000"/>
          <w:kern w:val="0"/>
          <w:sz w:val="24"/>
          <w:szCs w:val="24"/>
        </w:rPr>
        <w:t>2015年 5月9日</w:t>
      </w:r>
    </w:p>
    <w:p>
      <w:pPr>
        <w:widowControl/>
        <w:spacing w:beforeLines="50" w:afterLines="50" w:line="360" w:lineRule="auto"/>
        <w:ind w:firstLine="602" w:firstLineChars="250"/>
        <w:jc w:val="left"/>
        <w:rPr>
          <w:rFonts w:ascii="仿宋_GB2312" w:hAnsi="Times New Roman" w:eastAsia="仿宋_GB2312" w:cs="Times New Roman"/>
          <w:b/>
          <w:kern w:val="0"/>
          <w:sz w:val="24"/>
          <w:szCs w:val="24"/>
        </w:rPr>
      </w:pPr>
      <w:r>
        <w:rPr>
          <w:rFonts w:hint="eastAsia" w:ascii="仿宋_GB2312" w:hAnsi="Times New Roman" w:eastAsia="仿宋_GB2312" w:cs="Times New Roman"/>
          <w:b/>
          <w:kern w:val="0"/>
          <w:sz w:val="24"/>
          <w:szCs w:val="24"/>
        </w:rPr>
        <w:t xml:space="preserve">六、活动地点 </w:t>
      </w:r>
    </w:p>
    <w:p>
      <w:pPr>
        <w:widowControl/>
        <w:spacing w:beforeLines="50" w:afterLines="50" w:line="360" w:lineRule="auto"/>
        <w:ind w:firstLine="600" w:firstLineChars="250"/>
        <w:jc w:val="left"/>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山东大学（威海）知行会堂</w:t>
      </w:r>
    </w:p>
    <w:p>
      <w:pPr>
        <w:widowControl/>
        <w:spacing w:beforeLines="50" w:afterLines="50" w:line="360" w:lineRule="auto"/>
        <w:ind w:firstLine="602" w:firstLineChars="250"/>
        <w:jc w:val="left"/>
        <w:rPr>
          <w:rFonts w:ascii="仿宋_GB2312" w:hAnsi="Times New Roman" w:eastAsia="仿宋_GB2312" w:cs="Times New Roman"/>
          <w:b/>
          <w:kern w:val="0"/>
          <w:sz w:val="24"/>
          <w:szCs w:val="24"/>
        </w:rPr>
      </w:pPr>
      <w:r>
        <w:rPr>
          <w:rFonts w:hint="eastAsia" w:ascii="仿宋_GB2312" w:hAnsi="Times New Roman" w:eastAsia="仿宋_GB2312" w:cs="Times New Roman"/>
          <w:b/>
          <w:kern w:val="0"/>
          <w:sz w:val="24"/>
          <w:szCs w:val="24"/>
        </w:rPr>
        <w:t xml:space="preserve">七、参赛对象 </w:t>
      </w:r>
    </w:p>
    <w:p>
      <w:pPr>
        <w:widowControl/>
        <w:spacing w:beforeLines="50" w:afterLines="50" w:line="360" w:lineRule="auto"/>
        <w:ind w:firstLine="600" w:firstLineChars="250"/>
        <w:jc w:val="left"/>
        <w:rPr>
          <w:rFonts w:ascii="仿宋_GB2312" w:hAnsi="Times New Roman" w:eastAsia="仿宋_GB2312" w:cs="Times New Roman"/>
          <w:b/>
          <w:kern w:val="0"/>
          <w:sz w:val="24"/>
          <w:szCs w:val="24"/>
        </w:rPr>
      </w:pPr>
      <w:r>
        <w:rPr>
          <w:rFonts w:hint="eastAsia" w:ascii="仿宋_GB2312" w:hAnsi="Arial" w:eastAsia="仿宋_GB2312" w:cs="Arial"/>
          <w:color w:val="000000"/>
          <w:kern w:val="0"/>
          <w:sz w:val="24"/>
          <w:szCs w:val="24"/>
        </w:rPr>
        <w:t>全省各高校（含普通高校、成人院校、民办高校）全日制本、专科学生及研究生。</w:t>
      </w:r>
    </w:p>
    <w:p>
      <w:pPr>
        <w:widowControl/>
        <w:spacing w:beforeLines="50" w:afterLines="50" w:line="360" w:lineRule="auto"/>
        <w:ind w:firstLine="602" w:firstLineChars="250"/>
        <w:jc w:val="left"/>
        <w:rPr>
          <w:rFonts w:ascii="仿宋_GB2312" w:hAnsi="Times New Roman" w:eastAsia="仿宋_GB2312" w:cs="Times New Roman"/>
          <w:b/>
          <w:kern w:val="0"/>
          <w:sz w:val="24"/>
          <w:szCs w:val="24"/>
        </w:rPr>
      </w:pPr>
      <w:r>
        <w:rPr>
          <w:rFonts w:hint="eastAsia" w:ascii="仿宋_GB2312" w:hAnsi="Times New Roman" w:eastAsia="仿宋_GB2312" w:cs="Times New Roman"/>
          <w:b/>
          <w:kern w:val="0"/>
          <w:sz w:val="24"/>
          <w:szCs w:val="24"/>
        </w:rPr>
        <w:t xml:space="preserve">八、报名方式 </w:t>
      </w:r>
    </w:p>
    <w:p>
      <w:pPr>
        <w:widowControl/>
        <w:spacing w:beforeLines="50" w:afterLines="50" w:line="360" w:lineRule="auto"/>
        <w:ind w:firstLine="600" w:firstLineChars="250"/>
        <w:jc w:val="left"/>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 xml:space="preserve">1．各高校经过预赛后自主选拔复赛选手，最终组队后将《山东省大学生原创短剧大赛复赛选手登记表》、参赛剧本、作品视频或光盘一起发送至 </w:t>
      </w:r>
      <w:r>
        <w:rPr>
          <w:rFonts w:hint="eastAsia" w:ascii="仿宋_GB2312" w:hAnsi="微软雅黑" w:eastAsia="仿宋_GB2312"/>
          <w:color w:val="333333"/>
          <w:sz w:val="24"/>
          <w:szCs w:val="24"/>
          <w:shd w:val="clear" w:color="auto" w:fill="F8FDFF"/>
        </w:rPr>
        <w:t>sddxwhtw@163.com</w:t>
      </w:r>
      <w:r>
        <w:rPr>
          <w:rFonts w:hint="eastAsia" w:ascii="仿宋_GB2312" w:hAnsi="Arial" w:eastAsia="仿宋_GB2312" w:cs="Arial"/>
          <w:color w:val="000000"/>
          <w:kern w:val="0"/>
          <w:sz w:val="24"/>
          <w:szCs w:val="24"/>
        </w:rPr>
        <w:t>，发送标题统一为“原创短剧大赛+学校”，或者邮寄到：山东省威海市文化西路180号山东大学（威海）团委 李彤彤（收）承办方联系电话：0631-5688701，联系人：李彤彤；</w:t>
      </w:r>
    </w:p>
    <w:p>
      <w:pPr>
        <w:widowControl/>
        <w:spacing w:beforeLines="50" w:afterLines="50" w:line="360" w:lineRule="auto"/>
        <w:ind w:firstLine="600" w:firstLineChars="250"/>
        <w:jc w:val="left"/>
        <w:rPr>
          <w:rFonts w:ascii="仿宋_GB2312" w:hAnsi="Times New Roman" w:eastAsia="仿宋_GB2312" w:cs="Times New Roman"/>
          <w:b/>
          <w:kern w:val="0"/>
          <w:sz w:val="24"/>
          <w:szCs w:val="24"/>
        </w:rPr>
      </w:pPr>
      <w:r>
        <w:rPr>
          <w:rFonts w:hint="eastAsia" w:ascii="仿宋_GB2312" w:hAnsi="Arial" w:eastAsia="仿宋_GB2312" w:cs="Arial"/>
          <w:color w:val="000000"/>
          <w:kern w:val="0"/>
          <w:sz w:val="24"/>
          <w:szCs w:val="24"/>
        </w:rPr>
        <w:t>2．报名截止日期：2015年4月25日。</w:t>
      </w:r>
    </w:p>
    <w:p>
      <w:pPr>
        <w:widowControl/>
        <w:spacing w:beforeLines="50" w:afterLines="50" w:line="360" w:lineRule="auto"/>
        <w:ind w:firstLine="602" w:firstLineChars="250"/>
        <w:jc w:val="left"/>
        <w:rPr>
          <w:rFonts w:ascii="仿宋_GB2312" w:hAnsi="Arial" w:eastAsia="仿宋_GB2312" w:cs="Arial"/>
          <w:b/>
          <w:color w:val="000000"/>
          <w:kern w:val="0"/>
          <w:sz w:val="24"/>
          <w:szCs w:val="24"/>
        </w:rPr>
      </w:pPr>
      <w:r>
        <w:rPr>
          <w:rFonts w:hint="eastAsia" w:ascii="仿宋_GB2312" w:hAnsi="Arial" w:eastAsia="仿宋_GB2312" w:cs="Arial"/>
          <w:b/>
          <w:color w:val="000000"/>
          <w:kern w:val="0"/>
          <w:sz w:val="24"/>
          <w:szCs w:val="24"/>
        </w:rPr>
        <w:t xml:space="preserve">九、活动流程 </w:t>
      </w:r>
    </w:p>
    <w:p>
      <w:pPr>
        <w:widowControl/>
        <w:spacing w:beforeLines="50" w:afterLines="50" w:line="360" w:lineRule="auto"/>
        <w:ind w:firstLine="600" w:firstLineChars="250"/>
        <w:jc w:val="left"/>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1．比赛阶段：预赛——复赛——决赛；</w:t>
      </w:r>
    </w:p>
    <w:p>
      <w:pPr>
        <w:widowControl/>
        <w:spacing w:beforeLines="50" w:afterLines="50" w:line="360" w:lineRule="auto"/>
        <w:ind w:firstLine="600" w:firstLineChars="250"/>
        <w:jc w:val="left"/>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2．比赛方式：</w:t>
      </w:r>
    </w:p>
    <w:p>
      <w:pPr>
        <w:widowControl/>
        <w:spacing w:beforeLines="50" w:afterLines="50" w:line="360" w:lineRule="auto"/>
        <w:ind w:firstLine="600" w:firstLineChars="250"/>
        <w:jc w:val="left"/>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预赛由各高校根据通知及实际情况自行组织；</w:t>
      </w:r>
    </w:p>
    <w:p>
      <w:pPr>
        <w:widowControl/>
        <w:spacing w:beforeLines="50" w:afterLines="50" w:line="360" w:lineRule="auto"/>
        <w:ind w:firstLine="600" w:firstLineChars="250"/>
        <w:jc w:val="left"/>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复赛由各高校将选手参赛剧本和视频（或光盘）统一寄至山东大学（威海），由山东大学（威海）组织专家进行评审；</w:t>
      </w:r>
    </w:p>
    <w:p>
      <w:pPr>
        <w:widowControl/>
        <w:spacing w:beforeLines="50" w:afterLines="50" w:line="360" w:lineRule="auto"/>
        <w:ind w:firstLine="600" w:firstLineChars="250"/>
        <w:jc w:val="left"/>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决赛在山东大学(威海)进行，评审产生的10组选手在山东大学（威海）进行现场表演，决出最终成绩。</w:t>
      </w:r>
    </w:p>
    <w:p>
      <w:pPr>
        <w:widowControl/>
        <w:spacing w:beforeLines="50" w:afterLines="50" w:line="360" w:lineRule="auto"/>
        <w:ind w:firstLine="600" w:firstLineChars="250"/>
        <w:jc w:val="left"/>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3．比赛时间：</w:t>
      </w:r>
    </w:p>
    <w:p>
      <w:pPr>
        <w:widowControl/>
        <w:spacing w:beforeLines="50" w:afterLines="50" w:line="360" w:lineRule="auto"/>
        <w:ind w:firstLine="600" w:firstLineChars="250"/>
        <w:jc w:val="left"/>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报到时间：2015年5月8日（周五）上午8:00—12:00</w:t>
      </w:r>
    </w:p>
    <w:p>
      <w:pPr>
        <w:widowControl/>
        <w:spacing w:beforeLines="50" w:afterLines="50" w:line="360" w:lineRule="auto"/>
        <w:ind w:firstLine="600" w:firstLineChars="250"/>
        <w:jc w:val="left"/>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决赛时间：2013年5月9日（周六）上午8:30</w:t>
      </w:r>
    </w:p>
    <w:p>
      <w:pPr>
        <w:widowControl/>
        <w:spacing w:beforeLines="50" w:afterLines="50" w:line="360" w:lineRule="auto"/>
        <w:ind w:firstLine="600" w:firstLineChars="250"/>
        <w:jc w:val="left"/>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4. 报到地点：山东大学（威海）团委</w:t>
      </w:r>
    </w:p>
    <w:p>
      <w:pPr>
        <w:widowControl/>
        <w:spacing w:beforeLines="50" w:afterLines="50" w:line="360" w:lineRule="auto"/>
        <w:ind w:firstLine="600" w:firstLineChars="250"/>
        <w:jc w:val="left"/>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5. 比赛地点：山东大学（威海）知行会堂</w:t>
      </w:r>
    </w:p>
    <w:p>
      <w:pPr>
        <w:widowControl/>
        <w:spacing w:beforeLines="50" w:afterLines="50" w:line="360" w:lineRule="auto"/>
        <w:ind w:firstLine="602" w:firstLineChars="250"/>
        <w:jc w:val="left"/>
        <w:rPr>
          <w:rFonts w:ascii="仿宋_GB2312" w:hAnsi="Arial" w:eastAsia="仿宋_GB2312" w:cs="Arial"/>
          <w:b/>
          <w:color w:val="000000"/>
          <w:kern w:val="0"/>
          <w:sz w:val="24"/>
          <w:szCs w:val="24"/>
        </w:rPr>
      </w:pPr>
      <w:r>
        <w:rPr>
          <w:rFonts w:hint="eastAsia" w:ascii="仿宋_GB2312" w:hAnsi="Arial" w:eastAsia="仿宋_GB2312" w:cs="Arial"/>
          <w:b/>
          <w:color w:val="000000"/>
          <w:kern w:val="0"/>
          <w:sz w:val="24"/>
          <w:szCs w:val="24"/>
        </w:rPr>
        <w:t xml:space="preserve">十、比赛规则 </w:t>
      </w:r>
    </w:p>
    <w:p>
      <w:pPr>
        <w:widowControl/>
        <w:spacing w:beforeLines="50" w:afterLines="50" w:line="360" w:lineRule="auto"/>
        <w:ind w:firstLine="600" w:firstLineChars="250"/>
        <w:jc w:val="left"/>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1.参赛作品以舞台表演为演出形式，演出语言为中文；</w:t>
      </w:r>
    </w:p>
    <w:p>
      <w:pPr>
        <w:widowControl/>
        <w:spacing w:beforeLines="50" w:afterLines="50" w:line="360" w:lineRule="auto"/>
        <w:ind w:firstLine="600" w:firstLineChars="250"/>
        <w:jc w:val="left"/>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2.作品要求原创，内容必须积极健康向上，遵守国家法律法规。</w:t>
      </w:r>
    </w:p>
    <w:p>
      <w:pPr>
        <w:widowControl/>
        <w:spacing w:beforeLines="50" w:afterLines="50" w:line="360" w:lineRule="auto"/>
        <w:ind w:firstLine="600" w:firstLineChars="250"/>
        <w:jc w:val="left"/>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 xml:space="preserve">3.基本评选标准： </w:t>
      </w:r>
    </w:p>
    <w:p>
      <w:pPr>
        <w:widowControl/>
        <w:spacing w:beforeLines="50" w:afterLines="50" w:line="360" w:lineRule="auto"/>
        <w:ind w:firstLine="600" w:firstLineChars="250"/>
        <w:jc w:val="left"/>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剧本内涵突出、主题鲜明，紧扣“弘扬优秀传统文化，践行社会主义核心价值观”的主题；</w:t>
      </w:r>
    </w:p>
    <w:p>
      <w:pPr>
        <w:widowControl/>
        <w:spacing w:beforeLines="50" w:afterLines="50" w:line="360" w:lineRule="auto"/>
        <w:ind w:firstLine="600" w:firstLineChars="250"/>
        <w:jc w:val="left"/>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(2)画面质量清晰连贯、叙事流畅、视角独特，有一定拍摄技巧和剪辑技巧，色彩搭配合理，生动；</w:t>
      </w:r>
    </w:p>
    <w:p>
      <w:pPr>
        <w:widowControl/>
        <w:spacing w:beforeLines="50" w:afterLines="50" w:line="360" w:lineRule="auto"/>
        <w:ind w:firstLine="600" w:firstLineChars="250"/>
        <w:jc w:val="left"/>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(3)作品突出某个主题，能很好启发观众，引起共鸣；</w:t>
      </w:r>
    </w:p>
    <w:p>
      <w:pPr>
        <w:widowControl/>
        <w:spacing w:beforeLines="50" w:afterLines="50" w:line="360" w:lineRule="auto"/>
        <w:ind w:firstLine="600" w:firstLineChars="250"/>
        <w:jc w:val="left"/>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(4)有创新性，构思新颖；</w:t>
      </w:r>
    </w:p>
    <w:p>
      <w:pPr>
        <w:widowControl/>
        <w:spacing w:beforeLines="50" w:afterLines="50" w:line="360" w:lineRule="auto"/>
        <w:ind w:firstLine="600" w:firstLineChars="250"/>
        <w:jc w:val="left"/>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(5)短剧演员配合默契，有较高的可视性和吸引性；</w:t>
      </w:r>
    </w:p>
    <w:p>
      <w:pPr>
        <w:widowControl/>
        <w:spacing w:beforeLines="50" w:afterLines="50" w:line="360" w:lineRule="auto"/>
        <w:ind w:firstLine="600" w:firstLineChars="250"/>
        <w:jc w:val="left"/>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(6)思想乐观向上，内容健康向上，给人以生气和活力感；</w:t>
      </w:r>
    </w:p>
    <w:p>
      <w:pPr>
        <w:widowControl/>
        <w:spacing w:beforeLines="50" w:afterLines="50" w:line="360" w:lineRule="auto"/>
        <w:ind w:firstLine="600" w:firstLineChars="250"/>
        <w:jc w:val="left"/>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(7)作品时常不超过12分钟。</w:t>
      </w:r>
    </w:p>
    <w:p>
      <w:pPr>
        <w:widowControl/>
        <w:spacing w:beforeLines="50" w:afterLines="50" w:line="360" w:lineRule="auto"/>
        <w:ind w:firstLine="600" w:firstLineChars="250"/>
        <w:jc w:val="left"/>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4.预赛各校选拔方式不限，最终每校限报1—2组选手进入复赛；</w:t>
      </w:r>
    </w:p>
    <w:p>
      <w:pPr>
        <w:widowControl/>
        <w:spacing w:beforeLines="50" w:afterLines="50" w:line="360" w:lineRule="auto"/>
        <w:ind w:firstLine="600" w:firstLineChars="250"/>
        <w:jc w:val="left"/>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5.各高校选手报到时根据现场抽签结果决定出场顺序；</w:t>
      </w:r>
    </w:p>
    <w:p>
      <w:pPr>
        <w:widowControl/>
        <w:spacing w:beforeLines="50" w:afterLines="50" w:line="360" w:lineRule="auto"/>
        <w:ind w:firstLine="600" w:firstLineChars="250"/>
        <w:jc w:val="left"/>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6.决赛时根据出场顺序，各高校进行舞台表演，表演剧目为复赛剧目，演出时间不超过12分钟。</w:t>
      </w:r>
    </w:p>
    <w:p>
      <w:pPr>
        <w:widowControl/>
        <w:spacing w:beforeLines="50" w:afterLines="50" w:line="360" w:lineRule="auto"/>
        <w:ind w:firstLine="602" w:firstLineChars="250"/>
        <w:jc w:val="left"/>
        <w:rPr>
          <w:rFonts w:ascii="仿宋_GB2312" w:hAnsi="Arial" w:eastAsia="仿宋_GB2312" w:cs="Arial"/>
          <w:b/>
          <w:color w:val="000000"/>
          <w:kern w:val="0"/>
          <w:sz w:val="24"/>
          <w:szCs w:val="24"/>
        </w:rPr>
      </w:pPr>
      <w:r>
        <w:rPr>
          <w:rFonts w:hint="eastAsia" w:ascii="仿宋_GB2312" w:hAnsi="Arial" w:eastAsia="仿宋_GB2312" w:cs="Arial"/>
          <w:b/>
          <w:color w:val="000000"/>
          <w:kern w:val="0"/>
          <w:sz w:val="24"/>
          <w:szCs w:val="24"/>
        </w:rPr>
        <w:t xml:space="preserve">十一、比赛说明 </w:t>
      </w:r>
    </w:p>
    <w:p>
      <w:pPr>
        <w:widowControl/>
        <w:spacing w:beforeLines="50" w:afterLines="50" w:line="360" w:lineRule="auto"/>
        <w:ind w:firstLine="600" w:firstLineChars="250"/>
        <w:jc w:val="left"/>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1．由于时间限制，请各位参赛选手务必严格遵守赛程的时间要求，把握好比赛时间；</w:t>
      </w:r>
    </w:p>
    <w:p>
      <w:pPr>
        <w:widowControl/>
        <w:spacing w:beforeLines="50" w:afterLines="50" w:line="360" w:lineRule="auto"/>
        <w:ind w:firstLine="600" w:firstLineChars="250"/>
        <w:jc w:val="left"/>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2．道具（服装、碟片）等自备；</w:t>
      </w:r>
    </w:p>
    <w:p>
      <w:pPr>
        <w:widowControl/>
        <w:spacing w:beforeLines="50" w:afterLines="50" w:line="360" w:lineRule="auto"/>
        <w:ind w:firstLine="600" w:firstLineChars="250"/>
        <w:jc w:val="left"/>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3．比赛进行时，计时员将在规定时间剩余30秒时提醒一次，规定时间到后再提醒一次，超时10秒后最后一次提醒并终止比赛，对于超时者给予相应的扣分处理（超10秒相应扣除总分的0.1分）；</w:t>
      </w:r>
    </w:p>
    <w:p>
      <w:pPr>
        <w:widowControl/>
        <w:spacing w:beforeLines="50" w:afterLines="50" w:line="360" w:lineRule="auto"/>
        <w:ind w:firstLine="600" w:firstLineChars="250"/>
        <w:jc w:val="left"/>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4．各参赛选手应赛前半小时来到赛场报到，比赛开始半小时后仍未报到者视为自动弃权。</w:t>
      </w:r>
    </w:p>
    <w:p>
      <w:pPr>
        <w:widowControl/>
        <w:spacing w:beforeLines="50" w:afterLines="50" w:line="360" w:lineRule="auto"/>
        <w:ind w:firstLine="602" w:firstLineChars="250"/>
        <w:jc w:val="left"/>
        <w:rPr>
          <w:rFonts w:ascii="仿宋_GB2312" w:hAnsi="Arial" w:eastAsia="仿宋_GB2312" w:cs="Arial"/>
          <w:b/>
          <w:color w:val="000000"/>
          <w:kern w:val="0"/>
          <w:sz w:val="24"/>
          <w:szCs w:val="24"/>
        </w:rPr>
      </w:pPr>
      <w:r>
        <w:rPr>
          <w:rFonts w:hint="eastAsia" w:ascii="仿宋_GB2312" w:hAnsi="Arial" w:eastAsia="仿宋_GB2312" w:cs="Arial"/>
          <w:b/>
          <w:color w:val="000000"/>
          <w:kern w:val="0"/>
          <w:sz w:val="24"/>
          <w:szCs w:val="24"/>
        </w:rPr>
        <w:t xml:space="preserve">十二、奖项设置 </w:t>
      </w:r>
    </w:p>
    <w:p>
      <w:pPr>
        <w:widowControl/>
        <w:spacing w:beforeLines="50" w:afterLines="50" w:line="360" w:lineRule="auto"/>
        <w:ind w:firstLine="600" w:firstLineChars="250"/>
        <w:jc w:val="left"/>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1．复赛奖项设置：复赛设有若干优秀奖，按照一定的比例和选手复赛成绩决定获奖范围。</w:t>
      </w:r>
    </w:p>
    <w:p>
      <w:pPr>
        <w:widowControl/>
        <w:spacing w:beforeLines="50" w:afterLines="50" w:line="360" w:lineRule="auto"/>
        <w:ind w:firstLine="600" w:firstLineChars="250"/>
        <w:jc w:val="left"/>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2．决赛奖项设置：</w:t>
      </w:r>
    </w:p>
    <w:p>
      <w:pPr>
        <w:widowControl/>
        <w:spacing w:beforeLines="50" w:afterLines="50" w:line="360" w:lineRule="auto"/>
        <w:ind w:firstLine="600" w:firstLineChars="250"/>
        <w:jc w:val="left"/>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团队一等奖： 一 名；</w:t>
      </w:r>
    </w:p>
    <w:p>
      <w:pPr>
        <w:widowControl/>
        <w:spacing w:beforeLines="50" w:afterLines="50" w:line="360" w:lineRule="auto"/>
        <w:ind w:firstLine="600" w:firstLineChars="250"/>
        <w:jc w:val="left"/>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团队二等奖： 三 名；</w:t>
      </w:r>
    </w:p>
    <w:p>
      <w:pPr>
        <w:widowControl/>
        <w:spacing w:beforeLines="50" w:afterLines="50" w:line="360" w:lineRule="auto"/>
        <w:ind w:firstLine="600" w:firstLineChars="250"/>
        <w:jc w:val="left"/>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团队三等奖： 六 名；</w:t>
      </w:r>
    </w:p>
    <w:p>
      <w:pPr>
        <w:widowControl/>
        <w:spacing w:beforeLines="50" w:afterLines="50" w:line="360" w:lineRule="auto"/>
        <w:ind w:firstLine="602" w:firstLineChars="250"/>
        <w:jc w:val="left"/>
        <w:rPr>
          <w:rFonts w:ascii="仿宋_GB2312" w:hAnsi="Arial" w:eastAsia="仿宋_GB2312" w:cs="Arial"/>
          <w:b/>
          <w:color w:val="000000"/>
          <w:kern w:val="0"/>
          <w:sz w:val="24"/>
          <w:szCs w:val="24"/>
        </w:rPr>
      </w:pPr>
      <w:r>
        <w:rPr>
          <w:rFonts w:hint="eastAsia" w:ascii="仿宋_GB2312" w:hAnsi="Arial" w:eastAsia="仿宋_GB2312" w:cs="Arial"/>
          <w:b/>
          <w:color w:val="000000"/>
          <w:kern w:val="0"/>
          <w:sz w:val="24"/>
          <w:szCs w:val="24"/>
        </w:rPr>
        <w:t xml:space="preserve">十三、报到及住宿安排 </w:t>
      </w:r>
    </w:p>
    <w:p>
      <w:pPr>
        <w:widowControl/>
        <w:spacing w:beforeLines="50" w:afterLines="50" w:line="360" w:lineRule="auto"/>
        <w:ind w:firstLine="600" w:firstLineChars="250"/>
        <w:jc w:val="left"/>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1．报到时，选手须出示学生证和身份证，并领取参赛证及参赛须知等资料。超过时间未报到者由大赛组委会代为抽签。相关事宜可到报到现场咨询处询问。</w:t>
      </w:r>
    </w:p>
    <w:p>
      <w:pPr>
        <w:widowControl/>
        <w:spacing w:beforeLines="50" w:afterLines="50" w:line="360" w:lineRule="auto"/>
        <w:ind w:firstLine="600" w:firstLineChars="250"/>
        <w:jc w:val="left"/>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2．食宿费：</w:t>
      </w:r>
    </w:p>
    <w:p>
      <w:pPr>
        <w:widowControl/>
        <w:spacing w:beforeLines="50" w:afterLines="50" w:line="360" w:lineRule="auto"/>
        <w:ind w:firstLine="600" w:firstLineChars="250"/>
        <w:jc w:val="left"/>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住宿与就餐由组委会统一安排，费用自理。</w:t>
      </w:r>
    </w:p>
    <w:p>
      <w:pPr>
        <w:widowControl/>
        <w:spacing w:beforeLines="50" w:afterLines="50" w:line="360" w:lineRule="auto"/>
        <w:ind w:firstLine="602" w:firstLineChars="250"/>
        <w:jc w:val="left"/>
        <w:rPr>
          <w:rFonts w:ascii="仿宋_GB2312" w:hAnsi="Arial" w:eastAsia="仿宋_GB2312" w:cs="Arial"/>
          <w:b/>
          <w:color w:val="000000"/>
          <w:kern w:val="0"/>
          <w:sz w:val="24"/>
          <w:szCs w:val="24"/>
        </w:rPr>
      </w:pPr>
      <w:r>
        <w:rPr>
          <w:rFonts w:hint="eastAsia" w:ascii="仿宋_GB2312" w:hAnsi="Arial" w:eastAsia="仿宋_GB2312" w:cs="Arial"/>
          <w:b/>
          <w:color w:val="000000"/>
          <w:kern w:val="0"/>
          <w:sz w:val="24"/>
          <w:szCs w:val="24"/>
        </w:rPr>
        <w:t xml:space="preserve">十四、其他事项 </w:t>
      </w:r>
    </w:p>
    <w:p>
      <w:pPr>
        <w:widowControl/>
        <w:spacing w:beforeLines="50" w:afterLines="50" w:line="360" w:lineRule="auto"/>
        <w:ind w:firstLine="600" w:firstLineChars="250"/>
        <w:jc w:val="left"/>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1.希望各高校大力宣传，全面发动，精心准备，积极组织学生参与到本次竞赛中来。</w:t>
      </w:r>
    </w:p>
    <w:p>
      <w:pPr>
        <w:widowControl/>
        <w:spacing w:beforeLines="50" w:afterLines="50" w:line="360" w:lineRule="auto"/>
        <w:ind w:firstLine="600" w:firstLineChars="250"/>
        <w:jc w:val="left"/>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2.各参赛高校要通过本校微博发布、转播活动参与情况并@山东团省委学校部，并组织学生参与线上互动。</w:t>
      </w:r>
    </w:p>
    <w:p>
      <w:pPr>
        <w:widowControl/>
        <w:spacing w:beforeLines="50" w:afterLines="50" w:line="360" w:lineRule="auto"/>
        <w:ind w:firstLine="600" w:firstLineChars="250"/>
        <w:jc w:val="left"/>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未尽事宜，另行通知。</w:t>
      </w:r>
    </w:p>
    <w:p>
      <w:pPr>
        <w:widowControl/>
        <w:spacing w:beforeLines="50" w:afterLines="50" w:line="360" w:lineRule="auto"/>
        <w:ind w:firstLine="602" w:firstLineChars="250"/>
        <w:jc w:val="left"/>
        <w:rPr>
          <w:rFonts w:ascii="仿宋_GB2312" w:hAnsi="Arial" w:eastAsia="仿宋_GB2312" w:cs="Arial"/>
          <w:b/>
          <w:color w:val="000000"/>
          <w:kern w:val="0"/>
          <w:sz w:val="24"/>
          <w:szCs w:val="24"/>
        </w:rPr>
      </w:pPr>
      <w:r>
        <w:rPr>
          <w:rFonts w:hint="eastAsia" w:ascii="仿宋_GB2312" w:hAnsi="Arial" w:eastAsia="仿宋_GB2312" w:cs="Arial"/>
          <w:b/>
          <w:color w:val="000000"/>
          <w:kern w:val="0"/>
          <w:sz w:val="24"/>
          <w:szCs w:val="24"/>
        </w:rPr>
        <w:t>十五、联系方式</w:t>
      </w:r>
    </w:p>
    <w:p>
      <w:pPr>
        <w:widowControl/>
        <w:spacing w:beforeLines="50" w:afterLines="50" w:line="360" w:lineRule="auto"/>
        <w:ind w:firstLine="600" w:firstLineChars="250"/>
        <w:jc w:val="left"/>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联 系 人：李彤彤    侯丽娜</w:t>
      </w:r>
    </w:p>
    <w:p>
      <w:pPr>
        <w:widowControl/>
        <w:spacing w:beforeLines="50" w:afterLines="50" w:line="360" w:lineRule="auto"/>
        <w:ind w:firstLine="600" w:firstLineChars="250"/>
        <w:jc w:val="left"/>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联系电话：0631-5688701    0631-5688617</w:t>
      </w:r>
    </w:p>
    <w:p>
      <w:pPr>
        <w:widowControl/>
        <w:spacing w:beforeLines="50" w:afterLines="50" w:line="360" w:lineRule="auto"/>
        <w:ind w:firstLine="600" w:firstLineChars="250"/>
        <w:jc w:val="left"/>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邮  箱：sddxwhtw@163.com</w:t>
      </w:r>
    </w:p>
    <w:p>
      <w:pPr>
        <w:widowControl/>
        <w:spacing w:beforeLines="50" w:afterLines="50" w:line="360" w:lineRule="auto"/>
        <w:ind w:firstLine="600" w:firstLineChars="250"/>
        <w:jc w:val="left"/>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地  址： 山东省威海市文化西路180号山东大学（威海）团委</w:t>
      </w:r>
    </w:p>
    <w:p>
      <w:pPr>
        <w:widowControl/>
        <w:spacing w:beforeLines="50" w:afterLines="50" w:line="360" w:lineRule="auto"/>
        <w:ind w:firstLine="600" w:firstLineChars="250"/>
        <w:jc w:val="left"/>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邮  编：264209</w:t>
      </w:r>
    </w:p>
    <w:p>
      <w:pPr>
        <w:widowControl/>
        <w:spacing w:beforeLines="50" w:afterLines="50" w:line="360" w:lineRule="auto"/>
        <w:ind w:firstLine="600" w:firstLineChars="250"/>
        <w:jc w:val="left"/>
        <w:rPr>
          <w:rFonts w:ascii="仿宋_GB2312" w:hAnsi="Arial" w:eastAsia="仿宋_GB2312" w:cs="Arial"/>
          <w:color w:val="000000"/>
          <w:kern w:val="0"/>
          <w:sz w:val="24"/>
          <w:szCs w:val="24"/>
        </w:rPr>
      </w:pPr>
    </w:p>
    <w:p>
      <w:pPr>
        <w:widowControl/>
        <w:spacing w:beforeLines="50" w:afterLines="50" w:line="360" w:lineRule="auto"/>
        <w:ind w:firstLine="600" w:firstLineChars="250"/>
        <w:jc w:val="left"/>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lang w:val="en-US" w:eastAsia="zh-CN"/>
        </w:rPr>
        <w:t xml:space="preserve">                        </w:t>
      </w:r>
      <w:r>
        <w:rPr>
          <w:rFonts w:hint="eastAsia" w:ascii="仿宋_GB2312" w:hAnsi="Arial" w:eastAsia="仿宋_GB2312" w:cs="Arial"/>
          <w:color w:val="000000"/>
          <w:kern w:val="0"/>
          <w:sz w:val="24"/>
          <w:szCs w:val="24"/>
          <w:lang w:eastAsia="zh-CN"/>
        </w:rPr>
        <w:t>第十四届</w:t>
      </w:r>
      <w:r>
        <w:rPr>
          <w:rFonts w:hint="eastAsia" w:ascii="仿宋_GB2312" w:hAnsi="Arial" w:eastAsia="仿宋_GB2312" w:cs="Arial"/>
          <w:color w:val="000000"/>
          <w:kern w:val="0"/>
          <w:sz w:val="24"/>
          <w:szCs w:val="24"/>
        </w:rPr>
        <w:t>山东省大学生科技文化艺术节组委会</w:t>
      </w:r>
    </w:p>
    <w:p>
      <w:pPr>
        <w:widowControl/>
        <w:spacing w:beforeLines="50" w:afterLines="50" w:line="360" w:lineRule="auto"/>
        <w:ind w:firstLine="600" w:firstLineChars="250"/>
        <w:jc w:val="left"/>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lang w:val="en-US" w:eastAsia="zh-CN"/>
        </w:rPr>
        <w:t xml:space="preserve">                             </w:t>
      </w:r>
      <w:r>
        <w:rPr>
          <w:rFonts w:hint="eastAsia" w:ascii="仿宋_GB2312" w:hAnsi="Arial" w:eastAsia="仿宋_GB2312" w:cs="Arial"/>
          <w:color w:val="000000"/>
          <w:kern w:val="0"/>
          <w:sz w:val="24"/>
          <w:szCs w:val="24"/>
        </w:rPr>
        <w:t>共青团山东大学（威海）委员会</w:t>
      </w:r>
    </w:p>
    <w:p>
      <w:pPr>
        <w:widowControl/>
        <w:spacing w:beforeLines="50" w:afterLines="50" w:line="360" w:lineRule="auto"/>
        <w:ind w:firstLine="600" w:firstLineChars="250"/>
        <w:jc w:val="left"/>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lang w:val="en-US" w:eastAsia="zh-CN"/>
        </w:rPr>
        <w:t xml:space="preserve">                                   </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kern w:val="0"/>
          <w:sz w:val="24"/>
          <w:szCs w:val="24"/>
          <w:shd w:val="clear" w:color="auto" w:fill="FFFFFF"/>
          <w:lang w:eastAsia="zh-CN"/>
        </w:rPr>
        <w:t>二〇一五年四月七日</w:t>
      </w:r>
    </w:p>
    <w:p>
      <w:pPr>
        <w:widowControl/>
        <w:spacing w:beforeLines="50" w:afterLines="50" w:line="360" w:lineRule="auto"/>
        <w:ind w:firstLine="600" w:firstLineChars="250"/>
        <w:jc w:val="left"/>
        <w:rPr>
          <w:rFonts w:hint="eastAsia" w:ascii="仿宋_GB2312" w:hAnsi="Arial" w:eastAsia="仿宋_GB2312" w:cs="Arial"/>
          <w:color w:val="000000"/>
          <w:kern w:val="0"/>
          <w:sz w:val="24"/>
          <w:szCs w:val="24"/>
        </w:rPr>
      </w:pPr>
    </w:p>
    <w:p>
      <w:pPr>
        <w:widowControl/>
        <w:spacing w:beforeLines="50" w:afterLines="50" w:line="360" w:lineRule="auto"/>
        <w:ind w:firstLine="600" w:firstLineChars="250"/>
        <w:jc w:val="left"/>
        <w:rPr>
          <w:rFonts w:hint="eastAsia" w:ascii="仿宋_GB2312" w:hAnsi="Arial" w:eastAsia="仿宋_GB2312" w:cs="Arial"/>
          <w:color w:val="000000"/>
          <w:kern w:val="0"/>
          <w:sz w:val="24"/>
          <w:szCs w:val="24"/>
        </w:rPr>
      </w:pPr>
    </w:p>
    <w:p>
      <w:pPr>
        <w:widowControl/>
        <w:spacing w:beforeLines="50" w:afterLines="50" w:line="360" w:lineRule="auto"/>
        <w:ind w:firstLine="600" w:firstLineChars="250"/>
        <w:jc w:val="left"/>
        <w:rPr>
          <w:rFonts w:hint="eastAsia" w:ascii="仿宋_GB2312" w:hAnsi="Arial" w:eastAsia="仿宋_GB2312" w:cs="Arial"/>
          <w:color w:val="000000"/>
          <w:kern w:val="0"/>
          <w:sz w:val="24"/>
          <w:szCs w:val="24"/>
        </w:rPr>
      </w:pPr>
    </w:p>
    <w:p>
      <w:pPr>
        <w:widowControl/>
        <w:spacing w:beforeLines="50" w:afterLines="50" w:line="360" w:lineRule="auto"/>
        <w:ind w:firstLine="600" w:firstLineChars="250"/>
        <w:jc w:val="left"/>
        <w:rPr>
          <w:rFonts w:hint="eastAsia" w:ascii="仿宋_GB2312" w:hAnsi="Arial" w:eastAsia="仿宋_GB2312" w:cs="Arial"/>
          <w:color w:val="000000"/>
          <w:kern w:val="0"/>
          <w:sz w:val="24"/>
          <w:szCs w:val="24"/>
        </w:rPr>
      </w:pPr>
    </w:p>
    <w:p>
      <w:pPr>
        <w:widowControl/>
        <w:spacing w:beforeLines="50" w:afterLines="50" w:line="360" w:lineRule="auto"/>
        <w:ind w:firstLine="600" w:firstLineChars="250"/>
        <w:jc w:val="left"/>
        <w:rPr>
          <w:rFonts w:hint="eastAsia" w:ascii="仿宋_GB2312" w:hAnsi="Arial" w:eastAsia="仿宋_GB2312" w:cs="Arial"/>
          <w:color w:val="000000"/>
          <w:kern w:val="0"/>
          <w:sz w:val="24"/>
          <w:szCs w:val="24"/>
        </w:rPr>
      </w:pPr>
    </w:p>
    <w:p>
      <w:pPr>
        <w:widowControl/>
        <w:spacing w:beforeLines="50" w:afterLines="50" w:line="360" w:lineRule="auto"/>
        <w:ind w:firstLine="600" w:firstLineChars="250"/>
        <w:jc w:val="left"/>
        <w:rPr>
          <w:rFonts w:hint="eastAsia" w:ascii="仿宋_GB2312" w:hAnsi="Arial" w:eastAsia="仿宋_GB2312" w:cs="Arial"/>
          <w:color w:val="000000"/>
          <w:kern w:val="0"/>
          <w:sz w:val="24"/>
          <w:szCs w:val="24"/>
        </w:rPr>
      </w:pPr>
    </w:p>
    <w:p>
      <w:pPr>
        <w:widowControl/>
        <w:spacing w:beforeLines="50" w:afterLines="50" w:line="360" w:lineRule="auto"/>
        <w:ind w:firstLine="600" w:firstLineChars="250"/>
        <w:jc w:val="left"/>
        <w:rPr>
          <w:rFonts w:hint="eastAsia" w:ascii="仿宋_GB2312" w:hAnsi="Arial" w:eastAsia="仿宋_GB2312" w:cs="Arial"/>
          <w:color w:val="000000"/>
          <w:kern w:val="0"/>
          <w:sz w:val="24"/>
          <w:szCs w:val="24"/>
        </w:rPr>
      </w:pPr>
    </w:p>
    <w:p>
      <w:pPr>
        <w:widowControl/>
        <w:spacing w:beforeLines="50" w:afterLines="50" w:line="360" w:lineRule="auto"/>
        <w:ind w:firstLine="600" w:firstLineChars="250"/>
        <w:jc w:val="left"/>
        <w:rPr>
          <w:rFonts w:hint="eastAsia" w:ascii="仿宋_GB2312" w:hAnsi="Arial" w:eastAsia="仿宋_GB2312" w:cs="Arial"/>
          <w:color w:val="000000"/>
          <w:kern w:val="0"/>
          <w:sz w:val="24"/>
          <w:szCs w:val="24"/>
        </w:rPr>
      </w:pPr>
    </w:p>
    <w:p>
      <w:pPr>
        <w:widowControl/>
        <w:spacing w:beforeLines="50" w:afterLines="50" w:line="360" w:lineRule="auto"/>
        <w:ind w:firstLine="600" w:firstLineChars="250"/>
        <w:jc w:val="left"/>
        <w:rPr>
          <w:rFonts w:hint="eastAsia" w:ascii="仿宋_GB2312" w:hAnsi="Arial" w:eastAsia="仿宋_GB2312" w:cs="Arial"/>
          <w:color w:val="000000"/>
          <w:kern w:val="0"/>
          <w:sz w:val="24"/>
          <w:szCs w:val="24"/>
        </w:rPr>
      </w:pPr>
    </w:p>
    <w:p>
      <w:pPr>
        <w:widowControl/>
        <w:spacing w:beforeLines="50" w:afterLines="50" w:line="360" w:lineRule="auto"/>
        <w:ind w:firstLine="600" w:firstLineChars="250"/>
        <w:jc w:val="left"/>
        <w:rPr>
          <w:rFonts w:hint="eastAsia" w:ascii="仿宋_GB2312" w:hAnsi="Arial" w:eastAsia="仿宋_GB2312" w:cs="Arial"/>
          <w:color w:val="000000"/>
          <w:kern w:val="0"/>
          <w:sz w:val="24"/>
          <w:szCs w:val="24"/>
        </w:rPr>
      </w:pPr>
    </w:p>
    <w:p>
      <w:pPr>
        <w:widowControl/>
        <w:spacing w:beforeLines="50" w:afterLines="50" w:line="360" w:lineRule="auto"/>
        <w:ind w:firstLine="600" w:firstLineChars="250"/>
        <w:jc w:val="left"/>
        <w:rPr>
          <w:rFonts w:hint="eastAsia" w:ascii="仿宋_GB2312" w:hAnsi="Arial" w:eastAsia="仿宋_GB2312" w:cs="Arial"/>
          <w:color w:val="000000"/>
          <w:kern w:val="0"/>
          <w:sz w:val="24"/>
          <w:szCs w:val="24"/>
        </w:rPr>
      </w:pPr>
    </w:p>
    <w:p>
      <w:pPr>
        <w:widowControl/>
        <w:spacing w:beforeLines="50" w:afterLines="50" w:line="360" w:lineRule="auto"/>
        <w:ind w:firstLine="600" w:firstLineChars="250"/>
        <w:jc w:val="left"/>
        <w:rPr>
          <w:rFonts w:hint="eastAsia" w:ascii="仿宋_GB2312" w:hAnsi="Arial" w:eastAsia="仿宋_GB2312" w:cs="Arial"/>
          <w:color w:val="000000"/>
          <w:kern w:val="0"/>
          <w:sz w:val="24"/>
          <w:szCs w:val="24"/>
        </w:rPr>
      </w:pPr>
    </w:p>
    <w:p>
      <w:pPr>
        <w:widowControl/>
        <w:spacing w:beforeLines="50" w:afterLines="50" w:line="360" w:lineRule="auto"/>
        <w:ind w:firstLine="600" w:firstLineChars="250"/>
        <w:jc w:val="left"/>
        <w:rPr>
          <w:rFonts w:hint="eastAsia" w:ascii="仿宋_GB2312" w:hAnsi="Arial" w:eastAsia="仿宋_GB2312" w:cs="Arial"/>
          <w:color w:val="000000"/>
          <w:kern w:val="0"/>
          <w:sz w:val="24"/>
          <w:szCs w:val="24"/>
        </w:rPr>
      </w:pPr>
    </w:p>
    <w:p>
      <w:pPr>
        <w:widowControl/>
        <w:spacing w:beforeLines="50" w:afterLines="50" w:line="360" w:lineRule="auto"/>
        <w:ind w:firstLine="600" w:firstLineChars="250"/>
        <w:jc w:val="left"/>
        <w:rPr>
          <w:rFonts w:hint="eastAsia" w:ascii="仿宋_GB2312" w:hAnsi="Arial" w:eastAsia="仿宋_GB2312" w:cs="Arial"/>
          <w:color w:val="000000"/>
          <w:kern w:val="0"/>
          <w:sz w:val="24"/>
          <w:szCs w:val="24"/>
        </w:rPr>
      </w:pPr>
    </w:p>
    <w:p>
      <w:pPr>
        <w:widowControl/>
        <w:spacing w:beforeLines="50" w:afterLines="50" w:line="360" w:lineRule="auto"/>
        <w:ind w:firstLine="600" w:firstLineChars="250"/>
        <w:jc w:val="left"/>
        <w:rPr>
          <w:rFonts w:hint="eastAsia" w:ascii="仿宋_GB2312" w:hAnsi="Arial" w:eastAsia="仿宋_GB2312" w:cs="Arial"/>
          <w:color w:val="000000"/>
          <w:kern w:val="0"/>
          <w:sz w:val="24"/>
          <w:szCs w:val="24"/>
        </w:rPr>
      </w:pPr>
    </w:p>
    <w:p>
      <w:pPr>
        <w:widowControl/>
        <w:spacing w:beforeLines="50" w:afterLines="50" w:line="360" w:lineRule="auto"/>
        <w:ind w:firstLine="600" w:firstLineChars="250"/>
        <w:jc w:val="left"/>
        <w:rPr>
          <w:rFonts w:hint="eastAsia" w:ascii="仿宋_GB2312" w:hAnsi="Arial" w:eastAsia="仿宋_GB2312" w:cs="Arial"/>
          <w:color w:val="000000"/>
          <w:kern w:val="0"/>
          <w:sz w:val="24"/>
          <w:szCs w:val="24"/>
        </w:rPr>
      </w:pPr>
    </w:p>
    <w:p>
      <w:pPr>
        <w:widowControl/>
        <w:spacing w:beforeLines="50" w:afterLines="50" w:line="360" w:lineRule="auto"/>
        <w:ind w:firstLine="600" w:firstLineChars="250"/>
        <w:jc w:val="left"/>
        <w:rPr>
          <w:rFonts w:hint="eastAsia" w:ascii="仿宋_GB2312" w:hAnsi="Arial" w:eastAsia="仿宋_GB2312" w:cs="Arial"/>
          <w:color w:val="000000"/>
          <w:kern w:val="0"/>
          <w:sz w:val="24"/>
          <w:szCs w:val="24"/>
        </w:rPr>
      </w:pPr>
    </w:p>
    <w:p>
      <w:pPr>
        <w:widowControl/>
        <w:spacing w:beforeLines="50" w:afterLines="50" w:line="360" w:lineRule="auto"/>
        <w:jc w:val="left"/>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附件1：</w:t>
      </w:r>
    </w:p>
    <w:p>
      <w:pPr>
        <w:widowControl/>
        <w:spacing w:beforeLines="50" w:afterLines="50" w:line="360" w:lineRule="auto"/>
        <w:ind w:firstLine="600" w:firstLineChars="250"/>
        <w:jc w:val="left"/>
        <w:rPr>
          <w:rFonts w:ascii="仿宋_GB2312" w:hAnsi="Arial" w:eastAsia="仿宋_GB2312" w:cs="Arial"/>
          <w:color w:val="000000"/>
          <w:kern w:val="0"/>
          <w:sz w:val="24"/>
          <w:szCs w:val="24"/>
        </w:rPr>
      </w:pPr>
    </w:p>
    <w:p>
      <w:pPr>
        <w:widowControl/>
        <w:spacing w:beforeLines="50" w:afterLines="50" w:line="360" w:lineRule="auto"/>
        <w:ind w:firstLine="2048" w:firstLineChars="850"/>
        <w:jc w:val="left"/>
        <w:rPr>
          <w:rFonts w:ascii="仿宋_GB2312" w:hAnsi="Arial" w:eastAsia="仿宋_GB2312" w:cs="Arial"/>
          <w:b/>
          <w:color w:val="000000"/>
          <w:kern w:val="0"/>
          <w:sz w:val="24"/>
          <w:szCs w:val="24"/>
        </w:rPr>
      </w:pPr>
      <w:r>
        <w:rPr>
          <w:rFonts w:hint="eastAsia" w:ascii="仿宋_GB2312" w:hAnsi="Arial" w:eastAsia="仿宋_GB2312" w:cs="Arial"/>
          <w:b/>
          <w:color w:val="000000"/>
          <w:kern w:val="0"/>
          <w:sz w:val="24"/>
          <w:szCs w:val="24"/>
        </w:rPr>
        <w:t>第十四届山东省大学生科技文化艺术节</w:t>
      </w:r>
    </w:p>
    <w:p>
      <w:pPr>
        <w:widowControl/>
        <w:spacing w:beforeLines="50" w:afterLines="50" w:line="360" w:lineRule="auto"/>
        <w:ind w:firstLine="2833" w:firstLineChars="1176"/>
        <w:jc w:val="left"/>
        <w:rPr>
          <w:rFonts w:ascii="仿宋_GB2312" w:hAnsi="Arial" w:eastAsia="仿宋_GB2312" w:cs="Arial"/>
          <w:b/>
          <w:color w:val="000000"/>
          <w:kern w:val="0"/>
          <w:sz w:val="24"/>
          <w:szCs w:val="24"/>
        </w:rPr>
      </w:pPr>
      <w:r>
        <w:rPr>
          <w:rFonts w:hint="eastAsia" w:ascii="仿宋_GB2312" w:hAnsi="Arial" w:eastAsia="仿宋_GB2312" w:cs="Arial"/>
          <w:b/>
          <w:color w:val="000000"/>
          <w:kern w:val="0"/>
          <w:sz w:val="24"/>
          <w:szCs w:val="24"/>
        </w:rPr>
        <w:t>原创短剧征集大赛报名表</w:t>
      </w:r>
    </w:p>
    <w:tbl>
      <w:tblPr>
        <w:tblStyle w:val="6"/>
        <w:tblW w:w="8203" w:type="dxa"/>
        <w:jc w:val="center"/>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1754"/>
        <w:gridCol w:w="3194"/>
        <w:gridCol w:w="1515"/>
        <w:gridCol w:w="1740"/>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rHeight w:val="880" w:hRule="atLeast"/>
          <w:jc w:val="center"/>
        </w:trPr>
        <w:tc>
          <w:tcPr>
            <w:tcW w:w="1754" w:type="dxa"/>
            <w:tcBorders>
              <w:top w:val="single" w:color="auto" w:sz="8" w:space="0"/>
              <w:left w:val="single" w:color="auto" w:sz="8" w:space="0"/>
              <w:bottom w:val="single" w:color="auto" w:sz="8" w:space="0"/>
              <w:right w:val="single" w:color="auto" w:sz="8" w:space="0"/>
            </w:tcBorders>
            <w:vAlign w:val="center"/>
          </w:tcPr>
          <w:p>
            <w:pPr>
              <w:widowControl/>
              <w:spacing w:beforeLines="50" w:afterLines="50" w:line="360" w:lineRule="auto"/>
              <w:ind w:firstLine="600" w:firstLineChars="250"/>
              <w:jc w:val="left"/>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作品名称</w:t>
            </w:r>
          </w:p>
        </w:tc>
        <w:tc>
          <w:tcPr>
            <w:tcW w:w="3194" w:type="dxa"/>
            <w:tcBorders>
              <w:top w:val="outset" w:color="auto" w:sz="6" w:space="0"/>
              <w:left w:val="outset" w:color="auto" w:sz="6" w:space="0"/>
              <w:bottom w:val="outset" w:color="auto" w:sz="6" w:space="0"/>
              <w:right w:val="outset" w:color="auto" w:sz="6" w:space="0"/>
            </w:tcBorders>
            <w:vAlign w:val="center"/>
          </w:tcPr>
          <w:p>
            <w:pPr>
              <w:widowControl/>
              <w:spacing w:beforeLines="50" w:afterLines="50" w:line="360" w:lineRule="auto"/>
              <w:ind w:firstLine="600" w:firstLineChars="250"/>
              <w:jc w:val="left"/>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联系人姓名</w:t>
            </w:r>
          </w:p>
        </w:tc>
        <w:tc>
          <w:tcPr>
            <w:tcW w:w="1515" w:type="dxa"/>
            <w:tcBorders>
              <w:top w:val="outset" w:color="auto" w:sz="6" w:space="0"/>
              <w:left w:val="outset" w:color="auto" w:sz="6" w:space="0"/>
              <w:bottom w:val="outset" w:color="auto" w:sz="6" w:space="0"/>
              <w:right w:val="outset" w:color="auto" w:sz="6" w:space="0"/>
            </w:tcBorders>
            <w:vAlign w:val="center"/>
          </w:tcPr>
          <w:p>
            <w:pPr>
              <w:widowControl/>
              <w:spacing w:beforeLines="50" w:afterLines="50" w:line="360" w:lineRule="auto"/>
              <w:ind w:firstLine="600" w:firstLineChars="250"/>
              <w:jc w:val="left"/>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联系电话</w:t>
            </w:r>
          </w:p>
        </w:tc>
        <w:tc>
          <w:tcPr>
            <w:tcW w:w="1740" w:type="dxa"/>
            <w:tcBorders>
              <w:top w:val="outset" w:color="auto" w:sz="6" w:space="0"/>
              <w:left w:val="outset" w:color="auto" w:sz="6" w:space="0"/>
              <w:bottom w:val="outset" w:color="auto" w:sz="6" w:space="0"/>
              <w:right w:val="outset" w:color="auto" w:sz="6" w:space="0"/>
            </w:tcBorders>
            <w:vAlign w:val="center"/>
          </w:tcPr>
          <w:p>
            <w:pPr>
              <w:widowControl/>
              <w:spacing w:beforeLines="50" w:afterLines="50" w:line="360" w:lineRule="auto"/>
              <w:ind w:firstLine="600" w:firstLineChars="250"/>
              <w:jc w:val="left"/>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E-mail</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jc w:val="center"/>
        </w:trPr>
        <w:tc>
          <w:tcPr>
            <w:tcW w:w="1754" w:type="dxa"/>
            <w:tcBorders>
              <w:top w:val="outset" w:color="auto" w:sz="6" w:space="0"/>
              <w:left w:val="outset" w:color="auto" w:sz="6" w:space="0"/>
              <w:bottom w:val="outset" w:color="auto" w:sz="6" w:space="0"/>
              <w:right w:val="outset" w:color="auto" w:sz="6" w:space="0"/>
            </w:tcBorders>
            <w:vAlign w:val="top"/>
          </w:tcPr>
          <w:p>
            <w:pPr>
              <w:widowControl/>
              <w:spacing w:beforeLines="50" w:afterLines="50" w:line="360" w:lineRule="auto"/>
              <w:ind w:firstLine="600" w:firstLineChars="250"/>
              <w:jc w:val="left"/>
              <w:rPr>
                <w:rFonts w:ascii="仿宋_GB2312" w:hAnsi="Arial" w:eastAsia="仿宋_GB2312" w:cs="Arial"/>
                <w:color w:val="000000"/>
                <w:kern w:val="0"/>
                <w:sz w:val="24"/>
                <w:szCs w:val="24"/>
              </w:rPr>
            </w:pPr>
          </w:p>
        </w:tc>
        <w:tc>
          <w:tcPr>
            <w:tcW w:w="3194" w:type="dxa"/>
            <w:tcBorders>
              <w:top w:val="outset" w:color="auto" w:sz="6" w:space="0"/>
              <w:left w:val="outset" w:color="auto" w:sz="6" w:space="0"/>
              <w:bottom w:val="outset" w:color="auto" w:sz="6" w:space="0"/>
              <w:right w:val="outset" w:color="auto" w:sz="6" w:space="0"/>
            </w:tcBorders>
            <w:vAlign w:val="top"/>
          </w:tcPr>
          <w:p>
            <w:pPr>
              <w:widowControl/>
              <w:spacing w:beforeLines="50" w:afterLines="50" w:line="360" w:lineRule="auto"/>
              <w:ind w:firstLine="600" w:firstLineChars="250"/>
              <w:jc w:val="left"/>
              <w:rPr>
                <w:rFonts w:ascii="仿宋_GB2312" w:hAnsi="Arial" w:eastAsia="仿宋_GB2312" w:cs="Arial"/>
                <w:color w:val="000000"/>
                <w:kern w:val="0"/>
                <w:sz w:val="24"/>
                <w:szCs w:val="24"/>
              </w:rPr>
            </w:pPr>
          </w:p>
        </w:tc>
        <w:tc>
          <w:tcPr>
            <w:tcW w:w="1515" w:type="dxa"/>
            <w:tcBorders>
              <w:top w:val="outset" w:color="auto" w:sz="6" w:space="0"/>
              <w:left w:val="outset" w:color="auto" w:sz="6" w:space="0"/>
              <w:bottom w:val="outset" w:color="auto" w:sz="6" w:space="0"/>
              <w:right w:val="outset" w:color="auto" w:sz="6" w:space="0"/>
            </w:tcBorders>
            <w:vAlign w:val="top"/>
          </w:tcPr>
          <w:p>
            <w:pPr>
              <w:widowControl/>
              <w:spacing w:beforeLines="50" w:afterLines="50" w:line="360" w:lineRule="auto"/>
              <w:ind w:firstLine="600" w:firstLineChars="250"/>
              <w:jc w:val="left"/>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br/>
            </w:r>
          </w:p>
        </w:tc>
        <w:tc>
          <w:tcPr>
            <w:tcW w:w="1740" w:type="dxa"/>
            <w:tcBorders>
              <w:top w:val="outset" w:color="auto" w:sz="6" w:space="0"/>
              <w:left w:val="outset" w:color="auto" w:sz="6" w:space="0"/>
              <w:bottom w:val="outset" w:color="auto" w:sz="6" w:space="0"/>
              <w:right w:val="outset" w:color="auto" w:sz="6" w:space="0"/>
            </w:tcBorders>
            <w:vAlign w:val="top"/>
          </w:tcPr>
          <w:p>
            <w:pPr>
              <w:widowControl/>
              <w:spacing w:beforeLines="50" w:afterLines="50" w:line="360" w:lineRule="auto"/>
              <w:ind w:firstLine="600" w:firstLineChars="250"/>
              <w:jc w:val="left"/>
              <w:rPr>
                <w:rFonts w:ascii="仿宋_GB2312" w:hAnsi="Arial" w:eastAsia="仿宋_GB2312" w:cs="Arial"/>
                <w:color w:val="000000"/>
                <w:kern w:val="0"/>
                <w:sz w:val="24"/>
                <w:szCs w:val="24"/>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jc w:val="center"/>
        </w:trPr>
        <w:tc>
          <w:tcPr>
            <w:tcW w:w="1754" w:type="dxa"/>
            <w:tcBorders>
              <w:top w:val="outset" w:color="auto" w:sz="6" w:space="0"/>
              <w:left w:val="outset" w:color="auto" w:sz="6" w:space="0"/>
              <w:bottom w:val="outset" w:color="auto" w:sz="6" w:space="0"/>
              <w:right w:val="outset" w:color="auto" w:sz="6" w:space="0"/>
            </w:tcBorders>
            <w:vAlign w:val="top"/>
          </w:tcPr>
          <w:p>
            <w:pPr>
              <w:widowControl/>
              <w:spacing w:beforeLines="50" w:afterLines="50" w:line="360" w:lineRule="auto"/>
              <w:ind w:firstLine="600" w:firstLineChars="250"/>
              <w:jc w:val="left"/>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br/>
            </w:r>
          </w:p>
        </w:tc>
        <w:tc>
          <w:tcPr>
            <w:tcW w:w="3194" w:type="dxa"/>
            <w:tcBorders>
              <w:top w:val="outset" w:color="auto" w:sz="6" w:space="0"/>
              <w:left w:val="outset" w:color="auto" w:sz="6" w:space="0"/>
              <w:bottom w:val="outset" w:color="auto" w:sz="6" w:space="0"/>
              <w:right w:val="outset" w:color="auto" w:sz="6" w:space="0"/>
            </w:tcBorders>
            <w:vAlign w:val="top"/>
          </w:tcPr>
          <w:p>
            <w:pPr>
              <w:widowControl/>
              <w:spacing w:beforeLines="50" w:afterLines="50" w:line="360" w:lineRule="auto"/>
              <w:ind w:firstLine="600" w:firstLineChars="250"/>
              <w:jc w:val="left"/>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br/>
            </w:r>
            <w:r>
              <w:rPr>
                <w:rFonts w:hint="eastAsia" w:ascii="仿宋_GB2312" w:hAnsi="Arial" w:eastAsia="仿宋_GB2312" w:cs="Arial"/>
                <w:color w:val="000000"/>
                <w:kern w:val="0"/>
                <w:sz w:val="24"/>
                <w:szCs w:val="24"/>
              </w:rPr>
              <w:t> </w:t>
            </w:r>
          </w:p>
        </w:tc>
        <w:tc>
          <w:tcPr>
            <w:tcW w:w="1515" w:type="dxa"/>
            <w:tcBorders>
              <w:top w:val="outset" w:color="auto" w:sz="6" w:space="0"/>
              <w:left w:val="outset" w:color="auto" w:sz="6" w:space="0"/>
              <w:bottom w:val="outset" w:color="auto" w:sz="6" w:space="0"/>
              <w:right w:val="outset" w:color="auto" w:sz="6" w:space="0"/>
            </w:tcBorders>
            <w:vAlign w:val="top"/>
          </w:tcPr>
          <w:p>
            <w:pPr>
              <w:widowControl/>
              <w:spacing w:beforeLines="50" w:afterLines="50" w:line="360" w:lineRule="auto"/>
              <w:ind w:firstLine="600" w:firstLineChars="250"/>
              <w:jc w:val="left"/>
              <w:rPr>
                <w:rFonts w:ascii="仿宋_GB2312" w:hAnsi="Arial" w:eastAsia="仿宋_GB2312" w:cs="Arial"/>
                <w:color w:val="000000"/>
                <w:kern w:val="0"/>
                <w:sz w:val="24"/>
                <w:szCs w:val="24"/>
              </w:rPr>
            </w:pPr>
          </w:p>
        </w:tc>
        <w:tc>
          <w:tcPr>
            <w:tcW w:w="1740" w:type="dxa"/>
            <w:tcBorders>
              <w:top w:val="outset" w:color="auto" w:sz="6" w:space="0"/>
              <w:left w:val="outset" w:color="auto" w:sz="6" w:space="0"/>
              <w:bottom w:val="outset" w:color="auto" w:sz="6" w:space="0"/>
              <w:right w:val="outset" w:color="auto" w:sz="6" w:space="0"/>
            </w:tcBorders>
            <w:vAlign w:val="top"/>
          </w:tcPr>
          <w:p>
            <w:pPr>
              <w:widowControl/>
              <w:spacing w:beforeLines="50" w:afterLines="50" w:line="360" w:lineRule="auto"/>
              <w:ind w:firstLine="600" w:firstLineChars="250"/>
              <w:jc w:val="left"/>
              <w:rPr>
                <w:rFonts w:ascii="仿宋_GB2312" w:hAnsi="Arial" w:eastAsia="仿宋_GB2312" w:cs="Arial"/>
                <w:color w:val="000000"/>
                <w:kern w:val="0"/>
                <w:sz w:val="24"/>
                <w:szCs w:val="24"/>
              </w:rPr>
            </w:pPr>
          </w:p>
        </w:tc>
      </w:tr>
    </w:tbl>
    <w:p>
      <w:pPr>
        <w:widowControl/>
        <w:spacing w:beforeLines="50" w:afterLines="50" w:line="360" w:lineRule="auto"/>
        <w:ind w:firstLine="600" w:firstLineChars="250"/>
        <w:jc w:val="left"/>
        <w:rPr>
          <w:rFonts w:ascii="仿宋_GB2312" w:hAnsi="Arial" w:eastAsia="仿宋_GB2312" w:cs="Arial"/>
          <w:color w:val="000000"/>
          <w:kern w:val="0"/>
          <w:sz w:val="24"/>
          <w:szCs w:val="24"/>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CD4FD6"/>
    <w:rsid w:val="00033537"/>
    <w:rsid w:val="000B75E4"/>
    <w:rsid w:val="000F58A5"/>
    <w:rsid w:val="0032562B"/>
    <w:rsid w:val="00425CD0"/>
    <w:rsid w:val="0045428D"/>
    <w:rsid w:val="00493D7F"/>
    <w:rsid w:val="004E76AE"/>
    <w:rsid w:val="005D1B5E"/>
    <w:rsid w:val="00603719"/>
    <w:rsid w:val="006173D6"/>
    <w:rsid w:val="00622B08"/>
    <w:rsid w:val="00834943"/>
    <w:rsid w:val="00A405FA"/>
    <w:rsid w:val="00A74432"/>
    <w:rsid w:val="00AD1543"/>
    <w:rsid w:val="00B655E7"/>
    <w:rsid w:val="00C2672D"/>
    <w:rsid w:val="00C47942"/>
    <w:rsid w:val="00C6630C"/>
    <w:rsid w:val="00CD4FD6"/>
    <w:rsid w:val="00D42567"/>
    <w:rsid w:val="00D62B9C"/>
    <w:rsid w:val="00EE3C44"/>
    <w:rsid w:val="00F919F2"/>
    <w:rsid w:val="00F965C2"/>
    <w:rsid w:val="12764419"/>
    <w:rsid w:val="5C622ABA"/>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99" w:semiHidden="0" w:name="header"/>
    <w:lsdException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Style w:val="6"/>
      <w:tblLayout w:type="fixed"/>
      <w:tblCellMar>
        <w:top w:w="0" w:type="dxa"/>
        <w:left w:w="108" w:type="dxa"/>
        <w:bottom w:w="0" w:type="dxa"/>
        <w:right w:w="108" w:type="dxa"/>
      </w:tblCellMar>
    </w:tblPr>
    <w:tcPr>
      <w:textDirection w:val="lrTb"/>
    </w:tcPr>
  </w:style>
  <w:style w:type="paragraph" w:styleId="2">
    <w:name w:val="footer"/>
    <w:basedOn w:val="1"/>
    <w:link w:val="9"/>
    <w:unhideWhenUsed/>
    <w:uiPriority w:val="99"/>
    <w:pPr>
      <w:tabs>
        <w:tab w:val="center" w:pos="4153"/>
        <w:tab w:val="right" w:pos="8306"/>
      </w:tabs>
      <w:snapToGrid w:val="0"/>
      <w:jc w:val="left"/>
    </w:pPr>
    <w:rPr>
      <w:sz w:val="18"/>
      <w:szCs w:val="18"/>
    </w:rPr>
  </w:style>
  <w:style w:type="paragraph" w:styleId="3">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paragraph" w:customStyle="1" w:styleId="7">
    <w:name w:val="List Paragraph"/>
    <w:basedOn w:val="1"/>
    <w:qFormat/>
    <w:uiPriority w:val="34"/>
    <w:pPr>
      <w:ind w:firstLine="420" w:firstLineChars="200"/>
    </w:pPr>
  </w:style>
  <w:style w:type="character" w:customStyle="1" w:styleId="8">
    <w:name w:val="页眉 Char"/>
    <w:basedOn w:val="5"/>
    <w:link w:val="3"/>
    <w:uiPriority w:val="99"/>
    <w:rPr>
      <w:sz w:val="18"/>
      <w:szCs w:val="18"/>
    </w:rPr>
  </w:style>
  <w:style w:type="character" w:customStyle="1" w:styleId="9">
    <w:name w:val="页脚 Char"/>
    <w:basedOn w:val="5"/>
    <w:link w:val="2"/>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 (Beijing) Limited</Company>
  <Pages>5</Pages>
  <Words>303</Words>
  <Characters>1730</Characters>
  <Lines>14</Lines>
  <Paragraphs>4</Paragraphs>
  <ScaleCrop>false</ScaleCrop>
  <LinksUpToDate>false</LinksUpToDate>
  <CharactersWithSpaces>0</CharactersWithSpaces>
  <Application>WPS Office 个人版_9.1.0.4994_{F1E327BC-269C-435d-A152-05C5408002CA}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2015-03-28T00:37:00Z</dcterms:created>
  <dc:creator>Lenovo User</dc:creator>
  <cp:lastModifiedBy>lenovo</cp:lastModifiedBy>
  <dcterms:modified xsi:type="dcterms:W3CDTF">2015-04-07T08:50:00Z</dcterms:modified>
  <dc:title>关于举办第十四届山东省大学生</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2052-9.1.0.4994</vt:lpwstr>
  </property>
</Properties>
</file>