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tabs>
          <w:tab w:val="left" w:pos="1560"/>
        </w:tabs>
        <w:spacing w:line="560" w:lineRule="exact"/>
        <w:jc w:val="center"/>
        <w:rPr>
          <w:rFonts w:ascii="宋体" w:hAnsi="宋体" w:cs="宋体"/>
          <w:b/>
          <w:bCs/>
          <w:sz w:val="36"/>
          <w:szCs w:val="36"/>
        </w:rPr>
      </w:pPr>
    </w:p>
    <w:p>
      <w:pPr>
        <w:tabs>
          <w:tab w:val="left" w:pos="1560"/>
        </w:tabs>
        <w:spacing w:line="560" w:lineRule="exact"/>
        <w:jc w:val="center"/>
        <w:rPr>
          <w:rFonts w:ascii="宋体" w:hAnsi="宋体" w:cs="宋体"/>
          <w:b/>
          <w:bCs/>
          <w:sz w:val="36"/>
          <w:szCs w:val="36"/>
        </w:rPr>
      </w:pPr>
      <w:r>
        <w:rPr>
          <w:rFonts w:hint="eastAsia" w:ascii="宋体" w:hAnsi="宋体" w:cs="宋体"/>
          <w:b/>
          <w:bCs/>
          <w:sz w:val="36"/>
          <w:szCs w:val="36"/>
        </w:rPr>
        <w:t>关于举办第十四届山东省大学生科技文化艺术节“羽动三走，拍赢未来”大学生羽毛球比赛的通知</w:t>
      </w:r>
      <w:bookmarkStart w:id="0" w:name="_GoBack"/>
      <w:bookmarkEnd w:id="0"/>
    </w:p>
    <w:p>
      <w:pPr>
        <w:pStyle w:val="5"/>
        <w:widowControl/>
        <w:shd w:val="clear" w:color="auto" w:fill="FFFFFF"/>
        <w:spacing w:before="75" w:beforeAutospacing="0" w:after="75" w:afterAutospacing="0" w:line="315" w:lineRule="atLeast"/>
        <w:rPr>
          <w:rFonts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各高校团委：</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hint="eastAsia" w:ascii="仿宋_GB2312" w:eastAsia="仿宋_GB2312"/>
          <w:color w:val="000000"/>
          <w:sz w:val="28"/>
          <w:szCs w:val="28"/>
        </w:rPr>
        <w:t>为深入学习贯彻党的十八届三中、四中全会精神和习近平总书记系列重要讲话精神，积极响应共青团中央在青年大学生中深入开展“走下网络 走出宿舍 走向操场”课外体育锻炼活动的号召，扎实培育和践行社会主义核心价值观，丰富大学生体育文化生活，促进广大青年学生健康成长，现面向全省大学生开展“羽动三走，拍赢未来”羽毛球比赛，现将有关事宜通知如下：</w:t>
      </w:r>
    </w:p>
    <w:p>
      <w:pPr>
        <w:pStyle w:val="5"/>
        <w:widowControl/>
        <w:shd w:val="clear" w:color="auto" w:fill="FFFFFF"/>
        <w:spacing w:before="75" w:beforeAutospacing="0" w:after="75" w:afterAutospacing="0" w:line="315" w:lineRule="atLeast"/>
        <w:ind w:firstLine="640"/>
        <w:rPr>
          <w:rFonts w:ascii="宋体" w:hAnsi="宋体"/>
          <w:b/>
          <w:color w:val="000000"/>
          <w:sz w:val="28"/>
          <w:szCs w:val="28"/>
        </w:rPr>
      </w:pPr>
      <w:r>
        <w:rPr>
          <w:rFonts w:hint="eastAsia" w:ascii="宋体" w:hAnsi="宋体"/>
          <w:b/>
          <w:color w:val="000000"/>
          <w:sz w:val="28"/>
          <w:szCs w:val="28"/>
        </w:rPr>
        <w:t>一、主办单位</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ascii="仿宋_GB2312" w:eastAsia="仿宋_GB2312"/>
          <w:color w:val="000000"/>
          <w:sz w:val="28"/>
          <w:szCs w:val="28"/>
        </w:rPr>
        <w:t>山东省委宣传部</w:t>
      </w:r>
      <w:r>
        <w:rPr>
          <w:rFonts w:hint="eastAsia" w:ascii="仿宋_GB2312" w:eastAsia="仿宋_GB2312"/>
          <w:color w:val="000000"/>
          <w:sz w:val="28"/>
          <w:szCs w:val="28"/>
        </w:rPr>
        <w:t xml:space="preserve">  </w:t>
      </w:r>
      <w:r>
        <w:rPr>
          <w:rFonts w:ascii="仿宋_GB2312" w:eastAsia="仿宋_GB2312"/>
          <w:color w:val="000000"/>
          <w:sz w:val="28"/>
          <w:szCs w:val="28"/>
        </w:rPr>
        <w:t>山东省高校工委</w:t>
      </w:r>
      <w:r>
        <w:rPr>
          <w:rFonts w:hint="eastAsia" w:ascii="仿宋_GB2312" w:eastAsia="仿宋_GB2312"/>
          <w:color w:val="000000"/>
          <w:sz w:val="28"/>
          <w:szCs w:val="28"/>
        </w:rPr>
        <w:t xml:space="preserve">  </w:t>
      </w:r>
      <w:r>
        <w:rPr>
          <w:rFonts w:ascii="仿宋_GB2312" w:eastAsia="仿宋_GB2312"/>
          <w:color w:val="000000"/>
          <w:sz w:val="28"/>
          <w:szCs w:val="28"/>
        </w:rPr>
        <w:t>共青团山东省委</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ascii="仿宋_GB2312" w:eastAsia="仿宋_GB2312"/>
          <w:color w:val="000000"/>
          <w:sz w:val="28"/>
          <w:szCs w:val="28"/>
        </w:rPr>
        <w:t xml:space="preserve">山东省教育厅 </w:t>
      </w:r>
      <w:r>
        <w:rPr>
          <w:rFonts w:hint="eastAsia" w:ascii="仿宋_GB2312" w:eastAsia="仿宋_GB2312"/>
          <w:color w:val="000000"/>
          <w:sz w:val="28"/>
          <w:szCs w:val="28"/>
        </w:rPr>
        <w:t xml:space="preserve"> </w:t>
      </w:r>
      <w:r>
        <w:rPr>
          <w:rFonts w:ascii="仿宋_GB2312" w:eastAsia="仿宋_GB2312"/>
          <w:color w:val="000000"/>
          <w:sz w:val="28"/>
          <w:szCs w:val="28"/>
        </w:rPr>
        <w:t>山东省文化厅</w:t>
      </w:r>
      <w:r>
        <w:rPr>
          <w:rFonts w:hint="eastAsia" w:ascii="仿宋_GB2312" w:eastAsia="仿宋_GB2312"/>
          <w:color w:val="000000"/>
          <w:sz w:val="28"/>
          <w:szCs w:val="28"/>
        </w:rPr>
        <w:t xml:space="preserve">  </w:t>
      </w:r>
      <w:r>
        <w:rPr>
          <w:rFonts w:ascii="仿宋_GB2312" w:eastAsia="仿宋_GB2312"/>
          <w:color w:val="000000"/>
          <w:sz w:val="28"/>
          <w:szCs w:val="28"/>
        </w:rPr>
        <w:t>山东省科协</w:t>
      </w:r>
      <w:r>
        <w:rPr>
          <w:rFonts w:hint="eastAsia" w:ascii="仿宋_GB2312" w:eastAsia="仿宋_GB2312"/>
          <w:color w:val="000000"/>
          <w:sz w:val="28"/>
          <w:szCs w:val="28"/>
        </w:rPr>
        <w:t xml:space="preserve">  </w:t>
      </w:r>
      <w:r>
        <w:rPr>
          <w:rFonts w:ascii="仿宋_GB2312" w:eastAsia="仿宋_GB2312"/>
          <w:color w:val="000000"/>
          <w:sz w:val="28"/>
          <w:szCs w:val="28"/>
        </w:rPr>
        <w:t>山东省学联</w:t>
      </w:r>
    </w:p>
    <w:p>
      <w:pPr>
        <w:pStyle w:val="5"/>
        <w:widowControl/>
        <w:shd w:val="clear" w:color="auto" w:fill="FFFFFF"/>
        <w:spacing w:before="75" w:beforeAutospacing="0" w:after="75" w:afterAutospacing="0" w:line="315" w:lineRule="atLeast"/>
        <w:ind w:firstLine="640"/>
        <w:rPr>
          <w:rFonts w:ascii="宋体" w:hAnsi="宋体"/>
          <w:b/>
          <w:color w:val="000000"/>
          <w:sz w:val="28"/>
          <w:szCs w:val="28"/>
        </w:rPr>
      </w:pPr>
      <w:r>
        <w:rPr>
          <w:rFonts w:hint="eastAsia" w:ascii="宋体" w:hAnsi="宋体"/>
          <w:b/>
          <w:color w:val="000000"/>
          <w:sz w:val="28"/>
          <w:szCs w:val="28"/>
        </w:rPr>
        <w:t>二、承办单位</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hint="eastAsia" w:ascii="仿宋_GB2312" w:eastAsia="仿宋_GB2312"/>
          <w:color w:val="000000"/>
          <w:sz w:val="28"/>
          <w:szCs w:val="28"/>
        </w:rPr>
        <w:t>共青团山东科技大学委员会</w:t>
      </w:r>
    </w:p>
    <w:p>
      <w:pPr>
        <w:pStyle w:val="5"/>
        <w:widowControl/>
        <w:shd w:val="clear" w:color="auto" w:fill="FFFFFF"/>
        <w:spacing w:before="75" w:beforeAutospacing="0" w:after="75" w:afterAutospacing="0" w:line="315" w:lineRule="atLeast"/>
        <w:ind w:firstLine="640"/>
        <w:rPr>
          <w:rFonts w:ascii="宋体" w:hAnsi="宋体"/>
          <w:b/>
          <w:color w:val="000000"/>
          <w:sz w:val="28"/>
          <w:szCs w:val="28"/>
        </w:rPr>
      </w:pPr>
      <w:r>
        <w:rPr>
          <w:rFonts w:hint="eastAsia" w:ascii="宋体" w:hAnsi="宋体"/>
          <w:b/>
          <w:color w:val="000000"/>
          <w:sz w:val="28"/>
          <w:szCs w:val="28"/>
        </w:rPr>
        <w:t>三、参赛对象：</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ascii="仿宋_GB2312" w:eastAsia="仿宋_GB2312"/>
          <w:color w:val="000000"/>
          <w:sz w:val="28"/>
          <w:szCs w:val="28"/>
        </w:rPr>
        <w:t>全省普通高等学校、民办、高职学校均可组队参赛</w:t>
      </w:r>
    </w:p>
    <w:p>
      <w:pPr>
        <w:pStyle w:val="5"/>
        <w:widowControl/>
        <w:shd w:val="clear" w:color="auto" w:fill="FFFFFF"/>
        <w:spacing w:before="75" w:beforeAutospacing="0" w:after="75" w:afterAutospacing="0" w:line="315" w:lineRule="atLeast"/>
        <w:ind w:firstLine="640"/>
        <w:rPr>
          <w:rFonts w:ascii="宋体" w:hAnsi="宋体"/>
          <w:b/>
          <w:color w:val="000000"/>
          <w:sz w:val="28"/>
          <w:szCs w:val="28"/>
        </w:rPr>
      </w:pPr>
      <w:r>
        <w:rPr>
          <w:rFonts w:hint="eastAsia" w:ascii="宋体" w:hAnsi="宋体"/>
          <w:b/>
          <w:color w:val="000000"/>
          <w:sz w:val="28"/>
          <w:szCs w:val="28"/>
        </w:rPr>
        <w:t>四、比赛规则</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ascii="仿宋_GB2312" w:eastAsia="仿宋_GB2312"/>
          <w:color w:val="000000"/>
          <w:sz w:val="28"/>
          <w:szCs w:val="28"/>
        </w:rPr>
        <w:t>1、</w:t>
      </w:r>
      <w:r>
        <w:rPr>
          <w:rFonts w:hint="eastAsia" w:ascii="仿宋_GB2312" w:eastAsia="仿宋_GB2312"/>
          <w:color w:val="000000"/>
          <w:sz w:val="28"/>
          <w:szCs w:val="28"/>
        </w:rPr>
        <w:t>比赛采用团体赛，采用中国羽协审定的最新《羽毛球竞赛规则》，赛制参照苏迪曼杯竞赛办法进行小组循环赛、淘汰赛。单场五盘三胜制。由男子单打、女子单打、男子双打、女子双打和男女混合双打五个项目组成，选手不得兼项。</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hint="eastAsia" w:ascii="仿宋_GB2312" w:eastAsia="仿宋_GB2312"/>
          <w:color w:val="000000"/>
          <w:sz w:val="28"/>
          <w:szCs w:val="28"/>
        </w:rPr>
        <w:t>2、比赛定于2015年5月16 日至17 日在山东科技大学青岛校区（青岛经济技术开发区前湾港路579号）羽毛球馆举行。请各参赛高校于2015年4月10日18：00点前将报名表（详见附件1）发到比赛报名邮箱（邮件名称统一为“学校全称+省第十四届科技文化艺术节羽毛球赛报名表”），每高校最多限报10名队员。</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hint="eastAsia" w:ascii="仿宋_GB2312" w:eastAsia="仿宋_GB2312"/>
          <w:color w:val="000000"/>
          <w:sz w:val="28"/>
          <w:szCs w:val="28"/>
        </w:rPr>
        <w:t>3、比赛期间各学校人员食宿自行解决，为方便大家住宿，承办单位提供了部分宾馆住宿信息供参赛人员参考，详见附件2。</w:t>
      </w:r>
    </w:p>
    <w:p>
      <w:pPr>
        <w:pStyle w:val="5"/>
        <w:widowControl/>
        <w:shd w:val="clear" w:color="auto" w:fill="FFFFFF"/>
        <w:spacing w:before="75" w:beforeAutospacing="0" w:after="75" w:afterAutospacing="0" w:line="315" w:lineRule="atLeast"/>
        <w:ind w:firstLine="640"/>
        <w:rPr>
          <w:rFonts w:ascii="宋体" w:hAnsi="宋体"/>
          <w:b/>
          <w:color w:val="000000"/>
          <w:sz w:val="28"/>
          <w:szCs w:val="28"/>
        </w:rPr>
      </w:pPr>
      <w:r>
        <w:rPr>
          <w:rFonts w:hint="eastAsia" w:ascii="宋体" w:hAnsi="宋体"/>
          <w:b/>
          <w:color w:val="000000"/>
          <w:sz w:val="28"/>
          <w:szCs w:val="28"/>
        </w:rPr>
        <w:t>五、奖项设置</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hint="eastAsia" w:ascii="仿宋_GB2312" w:eastAsia="仿宋_GB2312"/>
          <w:color w:val="000000"/>
          <w:sz w:val="28"/>
          <w:szCs w:val="28"/>
        </w:rPr>
        <w:t>根据比赛队伍报名情况，设立团体奖和优秀组织奖。希望并欢迎各高校积极组织优秀学生参赛交流。</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hint="eastAsia" w:ascii="仿宋_GB2312" w:eastAsia="仿宋_GB2312"/>
          <w:color w:val="000000"/>
          <w:sz w:val="28"/>
          <w:szCs w:val="28"/>
        </w:rPr>
        <w:t>比赛最终解释权归第十四届山东省大学生科技文化艺术节组委会和共青团山东科技大学团委所有。</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hint="eastAsia" w:ascii="仿宋_GB2312" w:eastAsia="仿宋_GB2312"/>
          <w:color w:val="000000"/>
          <w:sz w:val="28"/>
          <w:szCs w:val="28"/>
        </w:rPr>
        <w:t>报名联系人：朱永帅（0532-86057915）、宋贤浩（15853248939）</w:t>
      </w:r>
    </w:p>
    <w:p>
      <w:pPr>
        <w:pStyle w:val="5"/>
        <w:widowControl/>
        <w:shd w:val="clear" w:color="auto" w:fill="FFFFFF"/>
        <w:spacing w:before="75" w:beforeAutospacing="0" w:after="75" w:afterAutospacing="0" w:line="315" w:lineRule="atLeast"/>
        <w:ind w:firstLine="640"/>
        <w:rPr>
          <w:rFonts w:ascii="仿宋_GB2312" w:eastAsia="仿宋_GB2312"/>
          <w:color w:val="000000"/>
          <w:sz w:val="28"/>
          <w:szCs w:val="28"/>
        </w:rPr>
      </w:pPr>
      <w:r>
        <w:rPr>
          <w:rFonts w:hint="eastAsia" w:ascii="仿宋_GB2312" w:eastAsia="仿宋_GB2312"/>
          <w:color w:val="000000"/>
          <w:sz w:val="28"/>
          <w:szCs w:val="28"/>
        </w:rPr>
        <w:t>邮箱：</w:t>
      </w:r>
      <w:r>
        <w:rPr>
          <w:rFonts w:ascii="仿宋_GB2312" w:eastAsia="仿宋_GB2312"/>
          <w:color w:val="000000"/>
          <w:sz w:val="28"/>
          <w:szCs w:val="28"/>
        </w:rPr>
        <w:t>sdkjdxymqbs@126.com</w:t>
      </w:r>
    </w:p>
    <w:p>
      <w:pPr>
        <w:spacing w:line="640" w:lineRule="exact"/>
        <w:jc w:val="both"/>
        <w:rPr>
          <w:rFonts w:ascii="仿宋_GB2312" w:eastAsia="仿宋_GB2312"/>
          <w:color w:val="000000"/>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第十四届山东省大学生科技文化艺术节组委会</w:t>
      </w:r>
    </w:p>
    <w:p>
      <w:pPr>
        <w:pStyle w:val="5"/>
        <w:widowControl/>
        <w:shd w:val="clear" w:color="auto" w:fill="FFFFFF"/>
        <w:spacing w:before="75" w:beforeAutospacing="0" w:after="75" w:afterAutospacing="0" w:line="315" w:lineRule="atLeast"/>
        <w:ind w:firstLine="5536" w:firstLineChars="1977"/>
        <w:rPr>
          <w:rFonts w:ascii="仿宋_GB2312" w:eastAsia="仿宋_GB2312"/>
          <w:color w:val="000000"/>
          <w:sz w:val="28"/>
          <w:szCs w:val="28"/>
        </w:rPr>
      </w:pPr>
      <w:r>
        <w:rPr>
          <w:rFonts w:hint="eastAsia" w:ascii="仿宋_GB2312" w:eastAsia="仿宋_GB2312"/>
          <w:color w:val="000000"/>
          <w:sz w:val="28"/>
          <w:szCs w:val="28"/>
        </w:rPr>
        <w:t>共青团山东科技大学委员会</w:t>
      </w:r>
    </w:p>
    <w:p>
      <w:pPr>
        <w:pStyle w:val="5"/>
        <w:widowControl/>
        <w:spacing w:before="0" w:beforeAutospacing="0" w:after="76" w:afterAutospacing="0" w:line="23" w:lineRule="atLeast"/>
        <w:jc w:val="both"/>
        <w:rPr>
          <w:rFonts w:ascii="仿宋_GB2312" w:hAnsi="仿宋_GB2312" w:eastAsia="仿宋_GB2312" w:cs="仿宋_GB2312"/>
          <w:bCs/>
          <w:color w:val="000000"/>
          <w:sz w:val="28"/>
          <w:szCs w:val="28"/>
          <w:shd w:val="clear" w:color="auto" w:fill="FFFFFF"/>
        </w:rPr>
      </w:pPr>
      <w:r>
        <w:rPr>
          <w:rFonts w:hint="eastAsia" w:ascii="仿宋_GB2312" w:eastAsia="仿宋_GB2312"/>
          <w:color w:val="000000"/>
          <w:sz w:val="28"/>
          <w:szCs w:val="28"/>
          <w:lang w:val="en-US" w:eastAsia="zh-CN"/>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kern w:val="0"/>
          <w:sz w:val="28"/>
          <w:szCs w:val="28"/>
          <w:shd w:val="clear" w:color="auto" w:fill="FFFFFF"/>
          <w:lang w:eastAsia="zh-CN"/>
        </w:rPr>
        <w:t>二〇一五年四月七日</w:t>
      </w:r>
      <w:r>
        <w:rPr>
          <w:rFonts w:ascii="仿宋_GB2312" w:hAnsi="仿宋_GB2312" w:eastAsia="仿宋_GB2312" w:cs="仿宋_GB2312"/>
          <w:bCs/>
          <w:color w:val="000000"/>
          <w:sz w:val="28"/>
          <w:szCs w:val="28"/>
          <w:shd w:val="clear" w:color="auto" w:fill="FFFFFF"/>
        </w:rPr>
        <w:br w:type="page"/>
      </w:r>
    </w:p>
    <w:p>
      <w:pPr>
        <w:pStyle w:val="5"/>
        <w:widowControl/>
        <w:spacing w:before="0" w:beforeAutospacing="0" w:after="76" w:afterAutospacing="0" w:line="23" w:lineRule="atLeast"/>
        <w:jc w:val="both"/>
        <w:rPr>
          <w:rFonts w:ascii="仿宋_GB2312" w:hAnsi="仿宋_GB2312" w:eastAsia="仿宋_GB2312" w:cs="仿宋_GB2312"/>
          <w:bCs/>
          <w:color w:val="000000"/>
          <w:sz w:val="28"/>
          <w:szCs w:val="28"/>
          <w:shd w:val="clear" w:color="auto" w:fill="FFFFFF"/>
        </w:rPr>
      </w:pPr>
    </w:p>
    <w:p>
      <w:pPr>
        <w:pStyle w:val="5"/>
        <w:widowControl/>
        <w:spacing w:before="0" w:beforeAutospacing="0" w:after="76" w:afterAutospacing="0" w:line="23" w:lineRule="atLeast"/>
        <w:jc w:val="both"/>
        <w:rPr>
          <w:rFonts w:ascii="仿宋_GB2312" w:hAnsi="仿宋_GB2312" w:eastAsia="仿宋_GB2312" w:cs="仿宋_GB2312"/>
          <w:bCs/>
          <w:color w:val="000000"/>
          <w:sz w:val="28"/>
          <w:szCs w:val="28"/>
          <w:shd w:val="clear" w:color="auto" w:fill="FFFFFF"/>
        </w:rPr>
      </w:pPr>
      <w:r>
        <w:rPr>
          <w:rFonts w:hint="eastAsia" w:ascii="仿宋_GB2312" w:hAnsi="仿宋_GB2312" w:eastAsia="仿宋_GB2312" w:cs="仿宋_GB2312"/>
          <w:bCs/>
          <w:color w:val="000000"/>
          <w:sz w:val="28"/>
          <w:szCs w:val="28"/>
          <w:shd w:val="clear" w:color="auto" w:fill="FFFFFF"/>
        </w:rPr>
        <w:t>附件1</w:t>
      </w:r>
    </w:p>
    <w:p>
      <w:pPr>
        <w:pStyle w:val="5"/>
        <w:widowControl/>
        <w:spacing w:before="0" w:beforeAutospacing="0" w:after="76" w:afterAutospacing="0" w:line="23" w:lineRule="atLeast"/>
        <w:jc w:val="center"/>
        <w:rPr>
          <w:rFonts w:ascii="宋体" w:hAnsi="宋体" w:cs="宋体"/>
          <w:b/>
          <w:color w:val="000000"/>
          <w:sz w:val="32"/>
          <w:szCs w:val="32"/>
          <w:shd w:val="clear" w:color="auto" w:fill="FFFFFF"/>
        </w:rPr>
      </w:pPr>
      <w:r>
        <w:rPr>
          <w:rFonts w:hint="eastAsia" w:ascii="宋体" w:hAnsi="宋体" w:cs="宋体"/>
          <w:b/>
          <w:color w:val="000000"/>
          <w:sz w:val="36"/>
          <w:szCs w:val="36"/>
          <w:shd w:val="clear" w:color="auto" w:fill="FFFFFF"/>
        </w:rPr>
        <w:t>第十四届省大学生科技文化艺术节羽毛球比赛报名表</w:t>
      </w:r>
    </w:p>
    <w:p>
      <w:pPr>
        <w:pStyle w:val="5"/>
        <w:widowControl/>
        <w:spacing w:before="0" w:beforeAutospacing="0" w:after="76" w:afterAutospacing="0" w:line="23" w:lineRule="atLeast"/>
        <w:rPr>
          <w:rFonts w:ascii="仿宋_GB2312" w:hAnsi="宋体" w:eastAsia="仿宋_GB2312" w:cs="宋体"/>
          <w:b/>
          <w:color w:val="000000"/>
          <w:sz w:val="28"/>
          <w:szCs w:val="28"/>
          <w:shd w:val="clear" w:color="auto" w:fill="FFFFFF"/>
        </w:rPr>
      </w:pPr>
      <w:r>
        <w:rPr>
          <w:rFonts w:hint="eastAsia" w:ascii="仿宋_GB2312" w:eastAsia="仿宋_GB2312"/>
          <w:b/>
          <w:sz w:val="28"/>
          <w:szCs w:val="28"/>
        </w:rPr>
        <w:t>学校全称：</w:t>
      </w:r>
    </w:p>
    <w:tbl>
      <w:tblPr>
        <w:tblStyle w:val="8"/>
        <w:tblW w:w="9420" w:type="dxa"/>
        <w:tblInd w:w="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559"/>
        <w:gridCol w:w="1118"/>
        <w:gridCol w:w="698"/>
        <w:gridCol w:w="1117"/>
        <w:gridCol w:w="1537"/>
        <w:gridCol w:w="1398"/>
        <w:gridCol w:w="1397"/>
        <w:gridCol w:w="159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855" w:hRule="atLeast"/>
        </w:trPr>
        <w:tc>
          <w:tcPr>
            <w:tcW w:w="559" w:type="dxa"/>
            <w:tcBorders>
              <w:top w:val="outset" w:color="auto" w:sz="6" w:space="0"/>
              <w:left w:val="outset" w:color="auto" w:sz="6" w:space="0"/>
              <w:bottom w:val="outset" w:color="auto" w:sz="6" w:space="0"/>
              <w:right w:val="outset" w:color="auto" w:sz="6" w:space="0"/>
            </w:tcBorders>
            <w:vAlign w:val="center"/>
          </w:tcPr>
          <w:p>
            <w:pPr>
              <w:widowControl/>
              <w:spacing w:line="23" w:lineRule="atLeast"/>
              <w:jc w:val="center"/>
              <w:rPr>
                <w:rFonts w:ascii="仿宋_GB2312" w:hAnsi="仿宋_GB2312" w:eastAsia="仿宋_GB2312" w:cs="仿宋_GB2312"/>
                <w:b/>
                <w:bCs/>
                <w:szCs w:val="21"/>
              </w:rPr>
            </w:pPr>
            <w:r>
              <w:rPr>
                <w:rFonts w:hint="eastAsia" w:ascii="仿宋_GB2312" w:hAnsi="仿宋_GB2312" w:eastAsia="仿宋_GB2312" w:cs="仿宋_GB2312"/>
                <w:b/>
                <w:bCs/>
                <w:szCs w:val="21"/>
                <w:shd w:val="clear" w:color="auto" w:fill="FFFFFF"/>
              </w:rPr>
              <w:t>序号</w:t>
            </w:r>
          </w:p>
        </w:tc>
        <w:tc>
          <w:tcPr>
            <w:tcW w:w="1118" w:type="dxa"/>
            <w:tcBorders>
              <w:top w:val="outset" w:color="auto" w:sz="6" w:space="0"/>
              <w:left w:val="outset" w:color="auto" w:sz="6" w:space="0"/>
              <w:bottom w:val="outset" w:color="auto" w:sz="6" w:space="0"/>
              <w:right w:val="outset" w:color="auto" w:sz="6" w:space="0"/>
            </w:tcBorders>
            <w:vAlign w:val="center"/>
          </w:tcPr>
          <w:p>
            <w:pPr>
              <w:widowControl/>
              <w:spacing w:line="23" w:lineRule="atLeast"/>
              <w:jc w:val="center"/>
              <w:rPr>
                <w:rFonts w:ascii="仿宋_GB2312" w:hAnsi="仿宋_GB2312" w:eastAsia="仿宋_GB2312" w:cs="仿宋_GB2312"/>
                <w:b/>
                <w:bCs/>
                <w:szCs w:val="21"/>
              </w:rPr>
            </w:pPr>
            <w:r>
              <w:rPr>
                <w:rFonts w:hint="eastAsia" w:ascii="仿宋_GB2312" w:hAnsi="仿宋_GB2312" w:eastAsia="仿宋_GB2312" w:cs="仿宋_GB2312"/>
                <w:b/>
                <w:bCs/>
                <w:szCs w:val="21"/>
                <w:shd w:val="clear" w:color="auto" w:fill="FFFFFF"/>
              </w:rPr>
              <w:t>姓名</w:t>
            </w:r>
          </w:p>
        </w:tc>
        <w:tc>
          <w:tcPr>
            <w:tcW w:w="698" w:type="dxa"/>
            <w:tcBorders>
              <w:top w:val="outset" w:color="auto" w:sz="6" w:space="0"/>
              <w:left w:val="outset" w:color="auto" w:sz="6" w:space="0"/>
              <w:bottom w:val="outset" w:color="auto" w:sz="6" w:space="0"/>
              <w:right w:val="outset" w:color="auto" w:sz="6" w:space="0"/>
            </w:tcBorders>
            <w:vAlign w:val="center"/>
          </w:tcPr>
          <w:p>
            <w:pPr>
              <w:widowControl/>
              <w:spacing w:line="23" w:lineRule="atLeast"/>
              <w:jc w:val="center"/>
              <w:rPr>
                <w:rFonts w:ascii="仿宋_GB2312" w:hAnsi="仿宋_GB2312" w:eastAsia="仿宋_GB2312" w:cs="仿宋_GB2312"/>
                <w:b/>
                <w:bCs/>
                <w:szCs w:val="21"/>
              </w:rPr>
            </w:pPr>
            <w:r>
              <w:rPr>
                <w:rFonts w:hint="eastAsia" w:ascii="仿宋_GB2312" w:hAnsi="仿宋_GB2312" w:eastAsia="仿宋_GB2312" w:cs="仿宋_GB2312"/>
                <w:b/>
                <w:bCs/>
                <w:szCs w:val="21"/>
                <w:shd w:val="clear" w:color="auto" w:fill="FFFFFF"/>
              </w:rPr>
              <w:t>性别</w:t>
            </w:r>
          </w:p>
        </w:tc>
        <w:tc>
          <w:tcPr>
            <w:tcW w:w="1117" w:type="dxa"/>
            <w:tcBorders>
              <w:top w:val="outset" w:color="auto" w:sz="6" w:space="0"/>
              <w:left w:val="outset" w:color="auto" w:sz="6" w:space="0"/>
              <w:bottom w:val="outset" w:color="auto" w:sz="6" w:space="0"/>
              <w:right w:val="outset" w:color="auto" w:sz="6" w:space="0"/>
            </w:tcBorders>
            <w:vAlign w:val="center"/>
          </w:tcPr>
          <w:p>
            <w:pPr>
              <w:widowControl/>
              <w:spacing w:line="23" w:lineRule="atLeast"/>
              <w:jc w:val="center"/>
              <w:rPr>
                <w:rFonts w:ascii="仿宋_GB2312" w:hAnsi="仿宋_GB2312" w:eastAsia="仿宋_GB2312" w:cs="仿宋_GB2312"/>
                <w:b/>
                <w:bCs/>
                <w:szCs w:val="21"/>
              </w:rPr>
            </w:pPr>
            <w:r>
              <w:rPr>
                <w:rFonts w:hint="eastAsia" w:ascii="仿宋_GB2312" w:hAnsi="仿宋_GB2312" w:eastAsia="仿宋_GB2312" w:cs="仿宋_GB2312"/>
                <w:b/>
                <w:bCs/>
                <w:szCs w:val="21"/>
              </w:rPr>
              <w:t>专业班级</w:t>
            </w:r>
          </w:p>
        </w:tc>
        <w:tc>
          <w:tcPr>
            <w:tcW w:w="1537" w:type="dxa"/>
            <w:tcBorders>
              <w:top w:val="outset" w:color="auto" w:sz="6" w:space="0"/>
              <w:left w:val="outset" w:color="auto" w:sz="6" w:space="0"/>
              <w:bottom w:val="outset" w:color="auto" w:sz="6" w:space="0"/>
              <w:right w:val="outset" w:color="auto" w:sz="6" w:space="0"/>
            </w:tcBorders>
            <w:vAlign w:val="center"/>
          </w:tcPr>
          <w:p>
            <w:pPr>
              <w:widowControl/>
              <w:spacing w:line="23" w:lineRule="atLeast"/>
              <w:jc w:val="center"/>
              <w:rPr>
                <w:rFonts w:ascii="仿宋_GB2312" w:hAnsi="仿宋_GB2312" w:eastAsia="仿宋_GB2312" w:cs="仿宋_GB2312"/>
                <w:b/>
                <w:bCs/>
                <w:szCs w:val="21"/>
              </w:rPr>
            </w:pPr>
            <w:r>
              <w:rPr>
                <w:rFonts w:hint="eastAsia" w:ascii="仿宋_GB2312" w:hAnsi="仿宋_GB2312" w:eastAsia="仿宋_GB2312" w:cs="仿宋_GB2312"/>
                <w:b/>
                <w:bCs/>
                <w:szCs w:val="21"/>
                <w:shd w:val="clear" w:color="auto" w:fill="FFFFFF"/>
              </w:rPr>
              <w:t>学生证号</w:t>
            </w:r>
          </w:p>
        </w:tc>
        <w:tc>
          <w:tcPr>
            <w:tcW w:w="1398" w:type="dxa"/>
            <w:tcBorders>
              <w:top w:val="outset" w:color="auto" w:sz="6" w:space="0"/>
              <w:left w:val="outset" w:color="auto" w:sz="6" w:space="0"/>
              <w:bottom w:val="outset" w:color="auto" w:sz="6" w:space="0"/>
              <w:right w:val="outset" w:color="auto" w:sz="6" w:space="0"/>
            </w:tcBorders>
            <w:vAlign w:val="center"/>
          </w:tcPr>
          <w:p>
            <w:pPr>
              <w:pStyle w:val="5"/>
              <w:widowControl/>
              <w:spacing w:line="23" w:lineRule="atLeast"/>
              <w:jc w:val="center"/>
              <w:rPr>
                <w:rFonts w:ascii="仿宋_GB2312" w:hAnsi="仿宋_GB2312" w:eastAsia="仿宋_GB2312" w:cs="仿宋_GB2312"/>
                <w:b/>
                <w:bCs/>
                <w:sz w:val="21"/>
                <w:szCs w:val="21"/>
              </w:rPr>
            </w:pPr>
            <w:r>
              <w:rPr>
                <w:rFonts w:hint="eastAsia" w:ascii="仿宋_GB2312" w:hAnsi="仿宋_GB2312" w:eastAsia="仿宋_GB2312" w:cs="仿宋_GB2312"/>
                <w:b/>
                <w:bCs/>
                <w:sz w:val="21"/>
                <w:szCs w:val="21"/>
                <w:shd w:val="clear" w:color="auto" w:fill="FFFFFF"/>
              </w:rPr>
              <w:t>联系方式</w:t>
            </w:r>
          </w:p>
        </w:tc>
        <w:tc>
          <w:tcPr>
            <w:tcW w:w="1397" w:type="dxa"/>
            <w:tcBorders>
              <w:top w:val="outset" w:color="auto" w:sz="6" w:space="0"/>
              <w:left w:val="outset" w:color="auto" w:sz="6" w:space="0"/>
              <w:bottom w:val="outset" w:color="auto" w:sz="6" w:space="0"/>
              <w:right w:val="outset" w:color="auto" w:sz="6" w:space="0"/>
            </w:tcBorders>
            <w:vAlign w:val="center"/>
          </w:tcPr>
          <w:p>
            <w:pPr>
              <w:pStyle w:val="5"/>
              <w:widowControl/>
              <w:spacing w:line="23" w:lineRule="atLeast"/>
              <w:jc w:val="center"/>
              <w:rPr>
                <w:rFonts w:ascii="仿宋_GB2312" w:hAnsi="仿宋_GB2312" w:eastAsia="仿宋_GB2312" w:cs="仿宋_GB2312"/>
                <w:b/>
                <w:bCs/>
                <w:sz w:val="21"/>
                <w:szCs w:val="21"/>
              </w:rPr>
            </w:pPr>
            <w:r>
              <w:rPr>
                <w:rFonts w:hint="eastAsia" w:ascii="仿宋_GB2312" w:hAnsi="仿宋_GB2312" w:eastAsia="仿宋_GB2312" w:cs="仿宋_GB2312"/>
                <w:b/>
                <w:bCs/>
                <w:sz w:val="21"/>
                <w:szCs w:val="21"/>
              </w:rPr>
              <w:t>参赛项目</w:t>
            </w:r>
          </w:p>
        </w:tc>
        <w:tc>
          <w:tcPr>
            <w:tcW w:w="1596" w:type="dxa"/>
            <w:tcBorders>
              <w:top w:val="outset" w:color="auto" w:sz="6" w:space="0"/>
              <w:left w:val="outset" w:color="auto" w:sz="6" w:space="0"/>
              <w:bottom w:val="outset" w:color="auto" w:sz="6" w:space="0"/>
              <w:right w:val="outset" w:color="auto" w:sz="6" w:space="0"/>
            </w:tcBorders>
            <w:vAlign w:val="center"/>
          </w:tcPr>
          <w:p>
            <w:pPr>
              <w:pStyle w:val="5"/>
              <w:widowControl/>
              <w:spacing w:line="23" w:lineRule="atLeast"/>
              <w:jc w:val="center"/>
              <w:rPr>
                <w:rFonts w:ascii="仿宋_GB2312" w:hAnsi="仿宋_GB2312" w:eastAsia="仿宋_GB2312" w:cs="仿宋_GB2312"/>
                <w:b/>
                <w:bCs/>
                <w:sz w:val="21"/>
                <w:szCs w:val="21"/>
              </w:rPr>
            </w:pPr>
            <w:r>
              <w:rPr>
                <w:rFonts w:hint="eastAsia" w:ascii="仿宋_GB2312" w:hAnsi="仿宋_GB2312" w:eastAsia="仿宋_GB2312" w:cs="仿宋_GB2312"/>
                <w:b/>
                <w:bCs/>
                <w:sz w:val="21"/>
                <w:szCs w:val="21"/>
              </w:rPr>
              <w:t>备注（领队、队员）</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75" w:hRule="atLeast"/>
        </w:trPr>
        <w:tc>
          <w:tcPr>
            <w:tcW w:w="559"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118"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698"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11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53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398"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39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596"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75" w:hRule="atLeast"/>
        </w:trPr>
        <w:tc>
          <w:tcPr>
            <w:tcW w:w="559"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118"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698"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11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53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398"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39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c>
          <w:tcPr>
            <w:tcW w:w="1596"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仿宋_GB2312" w:eastAsia="仿宋_GB2312" w:cs="仿宋_GB2312"/>
                <w:kern w:val="0"/>
                <w:szCs w:val="21"/>
              </w:rPr>
            </w:pPr>
          </w:p>
        </w:tc>
      </w:tr>
    </w:tbl>
    <w:p>
      <w:pPr>
        <w:pStyle w:val="5"/>
        <w:widowControl/>
        <w:spacing w:before="0" w:beforeAutospacing="0" w:after="76" w:afterAutospacing="0" w:line="23" w:lineRule="atLeast"/>
        <w:jc w:val="both"/>
        <w:rPr>
          <w:rFonts w:ascii="仿宋_GB2312" w:hAnsi="仿宋_GB2312" w:eastAsia="仿宋_GB2312" w:cs="仿宋_GB2312"/>
          <w:bCs/>
          <w:color w:val="000000"/>
          <w:sz w:val="28"/>
          <w:szCs w:val="28"/>
          <w:shd w:val="clear" w:color="auto" w:fill="FFFFFF"/>
        </w:rPr>
      </w:pPr>
    </w:p>
    <w:p>
      <w:pPr>
        <w:pStyle w:val="5"/>
        <w:widowControl/>
        <w:spacing w:before="0" w:beforeAutospacing="0" w:after="76" w:afterAutospacing="0" w:line="23" w:lineRule="atLeast"/>
        <w:jc w:val="both"/>
        <w:rPr>
          <w:rFonts w:ascii="仿宋_GB2312" w:hAnsi="仿宋_GB2312" w:eastAsia="仿宋_GB2312" w:cs="仿宋_GB2312"/>
          <w:bCs/>
          <w:color w:val="000000"/>
          <w:sz w:val="28"/>
          <w:szCs w:val="28"/>
          <w:shd w:val="clear" w:color="auto" w:fill="FFFFFF"/>
        </w:rPr>
      </w:pPr>
    </w:p>
    <w:p>
      <w:pPr>
        <w:pStyle w:val="5"/>
        <w:widowControl/>
        <w:spacing w:before="0" w:beforeAutospacing="0" w:after="76" w:afterAutospacing="0" w:line="23" w:lineRule="atLeast"/>
        <w:jc w:val="both"/>
        <w:rPr>
          <w:rFonts w:ascii="仿宋_GB2312" w:hAnsi="仿宋_GB2312" w:eastAsia="仿宋_GB2312" w:cs="仿宋_GB2312"/>
          <w:bCs/>
          <w:color w:val="000000"/>
          <w:sz w:val="28"/>
          <w:szCs w:val="28"/>
          <w:shd w:val="clear" w:color="auto" w:fill="FFFFFF"/>
        </w:rPr>
      </w:pPr>
    </w:p>
    <w:p>
      <w:pPr>
        <w:pStyle w:val="5"/>
        <w:widowControl/>
        <w:spacing w:before="0" w:beforeAutospacing="0" w:after="76" w:afterAutospacing="0" w:line="23" w:lineRule="atLeast"/>
        <w:jc w:val="both"/>
        <w:rPr>
          <w:rFonts w:ascii="仿宋_GB2312" w:hAnsi="仿宋_GB2312" w:eastAsia="仿宋_GB2312" w:cs="仿宋_GB2312"/>
          <w:bCs/>
          <w:color w:val="000000"/>
          <w:sz w:val="28"/>
          <w:szCs w:val="28"/>
          <w:shd w:val="clear" w:color="auto" w:fill="FFFFFF"/>
        </w:rPr>
      </w:pPr>
      <w:r>
        <w:rPr>
          <w:rFonts w:hint="eastAsia" w:ascii="仿宋_GB2312" w:hAnsi="仿宋_GB2312" w:eastAsia="仿宋_GB2312" w:cs="仿宋_GB2312"/>
          <w:bCs/>
          <w:color w:val="000000"/>
          <w:sz w:val="28"/>
          <w:szCs w:val="28"/>
          <w:shd w:val="clear" w:color="auto" w:fill="FFFFFF"/>
        </w:rPr>
        <w:t>附件2</w:t>
      </w:r>
    </w:p>
    <w:p>
      <w:pPr>
        <w:pStyle w:val="5"/>
        <w:widowControl/>
        <w:spacing w:before="0" w:beforeAutospacing="0" w:after="76" w:afterAutospacing="0" w:line="23" w:lineRule="atLeast"/>
        <w:jc w:val="center"/>
        <w:rPr>
          <w:rFonts w:ascii="宋体" w:hAnsi="宋体" w:cs="宋体"/>
          <w:b/>
          <w:color w:val="000000"/>
          <w:sz w:val="36"/>
          <w:szCs w:val="36"/>
          <w:shd w:val="clear" w:color="auto" w:fill="FFFFFF"/>
        </w:rPr>
      </w:pPr>
      <w:r>
        <w:rPr>
          <w:rFonts w:hint="eastAsia" w:ascii="宋体" w:hAnsi="宋体" w:cs="宋体"/>
          <w:b/>
          <w:color w:val="000000"/>
          <w:sz w:val="36"/>
          <w:szCs w:val="36"/>
          <w:shd w:val="clear" w:color="auto" w:fill="FFFFFF"/>
        </w:rPr>
        <w:t>住宿信息温馨提示</w:t>
      </w:r>
    </w:p>
    <w:tbl>
      <w:tblPr>
        <w:tblStyle w:val="8"/>
        <w:tblW w:w="9600" w:type="dxa"/>
        <w:tblInd w:w="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62"/>
        <w:gridCol w:w="2649"/>
        <w:gridCol w:w="3480"/>
        <w:gridCol w:w="1821"/>
        <w:gridCol w:w="98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43" w:hRule="atLeast"/>
        </w:trPr>
        <w:tc>
          <w:tcPr>
            <w:tcW w:w="662" w:type="dxa"/>
            <w:tcBorders>
              <w:top w:val="outset" w:color="auto" w:sz="6" w:space="0"/>
              <w:left w:val="outset" w:color="auto" w:sz="6" w:space="0"/>
              <w:bottom w:val="outset" w:color="auto" w:sz="6" w:space="0"/>
              <w:right w:val="outset" w:color="auto" w:sz="6" w:space="0"/>
            </w:tcBorders>
            <w:vAlign w:val="center"/>
          </w:tcPr>
          <w:p>
            <w:pPr>
              <w:widowControl/>
              <w:spacing w:line="23" w:lineRule="atLeast"/>
              <w:jc w:val="center"/>
              <w:rPr>
                <w:rFonts w:ascii="仿宋_GB2312" w:hAnsi="仿宋_GB2312" w:eastAsia="仿宋_GB2312" w:cs="仿宋_GB2312"/>
                <w:b/>
                <w:bCs/>
                <w:szCs w:val="21"/>
              </w:rPr>
            </w:pPr>
            <w:r>
              <w:rPr>
                <w:rFonts w:hint="eastAsia" w:ascii="仿宋_GB2312" w:hAnsi="仿宋_GB2312" w:eastAsia="仿宋_GB2312" w:cs="仿宋_GB2312"/>
                <w:b/>
                <w:bCs/>
                <w:szCs w:val="21"/>
                <w:shd w:val="clear" w:color="auto" w:fill="FFFFFF"/>
              </w:rPr>
              <w:t>序号</w:t>
            </w:r>
          </w:p>
        </w:tc>
        <w:tc>
          <w:tcPr>
            <w:tcW w:w="2649" w:type="dxa"/>
            <w:tcBorders>
              <w:top w:val="outset" w:color="auto" w:sz="6" w:space="0"/>
              <w:left w:val="outset" w:color="auto" w:sz="6" w:space="0"/>
              <w:bottom w:val="outset" w:color="auto" w:sz="6" w:space="0"/>
              <w:right w:val="outset" w:color="auto" w:sz="6" w:space="0"/>
            </w:tcBorders>
            <w:vAlign w:val="center"/>
          </w:tcPr>
          <w:p>
            <w:pPr>
              <w:pStyle w:val="5"/>
              <w:widowControl/>
              <w:spacing w:line="23" w:lineRule="atLeast"/>
              <w:jc w:val="center"/>
              <w:rPr>
                <w:rFonts w:ascii="仿宋_GB2312" w:hAnsi="仿宋_GB2312" w:eastAsia="仿宋_GB2312" w:cs="仿宋_GB2312"/>
                <w:b/>
                <w:bCs/>
                <w:sz w:val="21"/>
                <w:szCs w:val="21"/>
              </w:rPr>
            </w:pPr>
            <w:r>
              <w:rPr>
                <w:rFonts w:hint="eastAsia" w:ascii="仿宋_GB2312" w:hAnsi="仿宋_GB2312" w:eastAsia="仿宋_GB2312" w:cs="仿宋_GB2312"/>
                <w:b/>
                <w:bCs/>
                <w:sz w:val="21"/>
                <w:szCs w:val="21"/>
                <w:shd w:val="clear" w:color="auto" w:fill="FFFFFF"/>
              </w:rPr>
              <w:t>名称</w:t>
            </w:r>
          </w:p>
        </w:tc>
        <w:tc>
          <w:tcPr>
            <w:tcW w:w="3480" w:type="dxa"/>
            <w:tcBorders>
              <w:top w:val="outset" w:color="auto" w:sz="6" w:space="0"/>
              <w:left w:val="outset" w:color="auto" w:sz="6" w:space="0"/>
              <w:bottom w:val="outset" w:color="auto" w:sz="6" w:space="0"/>
              <w:right w:val="outset" w:color="auto" w:sz="6" w:space="0"/>
            </w:tcBorders>
            <w:vAlign w:val="center"/>
          </w:tcPr>
          <w:p>
            <w:pPr>
              <w:widowControl/>
              <w:spacing w:line="23" w:lineRule="atLeast"/>
              <w:jc w:val="center"/>
              <w:rPr>
                <w:rFonts w:ascii="仿宋_GB2312" w:hAnsi="仿宋_GB2312" w:eastAsia="仿宋_GB2312" w:cs="仿宋_GB2312"/>
                <w:b/>
                <w:bCs/>
                <w:szCs w:val="21"/>
              </w:rPr>
            </w:pPr>
            <w:r>
              <w:rPr>
                <w:rFonts w:hint="eastAsia" w:ascii="仿宋_GB2312" w:hAnsi="仿宋_GB2312" w:eastAsia="仿宋_GB2312" w:cs="仿宋_GB2312"/>
                <w:b/>
                <w:bCs/>
                <w:szCs w:val="21"/>
              </w:rPr>
              <w:t>位置</w:t>
            </w:r>
          </w:p>
        </w:tc>
        <w:tc>
          <w:tcPr>
            <w:tcW w:w="1821" w:type="dxa"/>
            <w:tcBorders>
              <w:top w:val="outset" w:color="auto" w:sz="6" w:space="0"/>
              <w:left w:val="outset" w:color="auto" w:sz="6" w:space="0"/>
              <w:bottom w:val="outset" w:color="auto" w:sz="6" w:space="0"/>
              <w:right w:val="outset" w:color="auto" w:sz="6" w:space="0"/>
            </w:tcBorders>
            <w:vAlign w:val="center"/>
          </w:tcPr>
          <w:p>
            <w:pPr>
              <w:pStyle w:val="5"/>
              <w:widowControl/>
              <w:spacing w:line="23" w:lineRule="atLeast"/>
              <w:jc w:val="center"/>
              <w:rPr>
                <w:rFonts w:ascii="仿宋_GB2312" w:hAnsi="仿宋_GB2312" w:eastAsia="仿宋_GB2312" w:cs="仿宋_GB2312"/>
                <w:b/>
                <w:bCs/>
                <w:sz w:val="21"/>
                <w:szCs w:val="21"/>
              </w:rPr>
            </w:pPr>
            <w:r>
              <w:rPr>
                <w:rFonts w:hint="eastAsia" w:ascii="仿宋_GB2312" w:hAnsi="仿宋_GB2312" w:eastAsia="仿宋_GB2312" w:cs="仿宋_GB2312"/>
                <w:b/>
                <w:bCs/>
                <w:sz w:val="21"/>
                <w:szCs w:val="21"/>
                <w:shd w:val="clear" w:color="auto" w:fill="FFFFFF"/>
              </w:rPr>
              <w:t>联系方式</w:t>
            </w:r>
          </w:p>
        </w:tc>
        <w:tc>
          <w:tcPr>
            <w:tcW w:w="988" w:type="dxa"/>
            <w:tcBorders>
              <w:top w:val="outset" w:color="auto" w:sz="6" w:space="0"/>
              <w:left w:val="outset" w:color="auto" w:sz="6" w:space="0"/>
              <w:bottom w:val="outset" w:color="auto" w:sz="6" w:space="0"/>
              <w:right w:val="outset" w:color="auto" w:sz="6" w:space="0"/>
            </w:tcBorders>
            <w:vAlign w:val="center"/>
          </w:tcPr>
          <w:p>
            <w:pPr>
              <w:pStyle w:val="5"/>
              <w:widowControl/>
              <w:spacing w:line="23" w:lineRule="atLeast"/>
              <w:jc w:val="center"/>
              <w:rPr>
                <w:rFonts w:ascii="仿宋_GB2312" w:hAnsi="仿宋_GB2312" w:eastAsia="仿宋_GB2312" w:cs="仿宋_GB2312"/>
                <w:b/>
                <w:bCs/>
                <w:sz w:val="21"/>
                <w:szCs w:val="21"/>
              </w:rPr>
            </w:pPr>
            <w:r>
              <w:rPr>
                <w:rFonts w:hint="eastAsia" w:ascii="仿宋_GB2312" w:hAnsi="仿宋_GB2312" w:eastAsia="仿宋_GB2312" w:cs="仿宋_GB2312"/>
                <w:b/>
                <w:bCs/>
                <w:sz w:val="21"/>
                <w:szCs w:val="21"/>
              </w:rPr>
              <w:t>备  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862" w:hRule="atLeast"/>
        </w:trPr>
        <w:tc>
          <w:tcPr>
            <w:tcW w:w="662"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1</w:t>
            </w:r>
          </w:p>
        </w:tc>
        <w:tc>
          <w:tcPr>
            <w:tcW w:w="2649"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青岛科苑酒店(山东科技大学学术交流中心)</w:t>
            </w:r>
          </w:p>
        </w:tc>
        <w:tc>
          <w:tcPr>
            <w:tcW w:w="3480"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山东科技大学校内C区生活区</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0532--86057006</w:t>
            </w:r>
          </w:p>
        </w:tc>
        <w:tc>
          <w:tcPr>
            <w:tcW w:w="988"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862" w:hRule="atLeast"/>
        </w:trPr>
        <w:tc>
          <w:tcPr>
            <w:tcW w:w="662"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2</w:t>
            </w:r>
          </w:p>
        </w:tc>
        <w:tc>
          <w:tcPr>
            <w:tcW w:w="2649"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汉庭酒店青岛开发区山科大店</w:t>
            </w:r>
          </w:p>
        </w:tc>
        <w:tc>
          <w:tcPr>
            <w:tcW w:w="3480"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青岛经济技术开发区前湾港路</w:t>
            </w:r>
            <w:r>
              <w:rPr>
                <w:rFonts w:ascii="仿宋_GB2312" w:hAnsi="仿宋_GB2312" w:eastAsia="仿宋_GB2312" w:cs="仿宋_GB2312"/>
                <w:kern w:val="0"/>
                <w:szCs w:val="21"/>
              </w:rPr>
              <w:t>280</w:t>
            </w:r>
            <w:r>
              <w:rPr>
                <w:rFonts w:hint="eastAsia" w:ascii="仿宋_GB2312" w:hAnsi="仿宋_GB2312" w:eastAsia="仿宋_GB2312" w:cs="仿宋_GB2312"/>
                <w:kern w:val="0"/>
                <w:szCs w:val="21"/>
              </w:rPr>
              <w:t>号</w:t>
            </w:r>
            <w:r>
              <w:rPr>
                <w:rFonts w:ascii="仿宋_GB2312" w:hAnsi="仿宋_GB2312" w:eastAsia="仿宋_GB2312" w:cs="仿宋_GB2312"/>
                <w:kern w:val="0"/>
                <w:szCs w:val="21"/>
              </w:rPr>
              <w:t>（山东科技大学南门东250</w:t>
            </w:r>
            <w:r>
              <w:rPr>
                <w:rFonts w:hint="eastAsia" w:ascii="仿宋_GB2312" w:hAnsi="仿宋_GB2312" w:eastAsia="仿宋_GB2312" w:cs="仿宋_GB2312"/>
                <w:kern w:val="0"/>
                <w:szCs w:val="21"/>
              </w:rPr>
              <w:t>米）</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ascii="仿宋_GB2312" w:hAnsi="仿宋_GB2312" w:eastAsia="仿宋_GB2312" w:cs="仿宋_GB2312"/>
                <w:kern w:val="0"/>
                <w:szCs w:val="21"/>
              </w:rPr>
              <w:t>0532--86819799</w:t>
            </w:r>
          </w:p>
        </w:tc>
        <w:tc>
          <w:tcPr>
            <w:tcW w:w="988"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862" w:hRule="atLeast"/>
        </w:trPr>
        <w:tc>
          <w:tcPr>
            <w:tcW w:w="662"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3</w:t>
            </w:r>
          </w:p>
        </w:tc>
        <w:tc>
          <w:tcPr>
            <w:tcW w:w="2649"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格林豪泰青岛开发区山东科技大学快捷酒店</w:t>
            </w:r>
          </w:p>
        </w:tc>
        <w:tc>
          <w:tcPr>
            <w:tcW w:w="3480"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青岛开发区前湾港路</w:t>
            </w:r>
            <w:r>
              <w:rPr>
                <w:rFonts w:ascii="仿宋_GB2312" w:hAnsi="仿宋_GB2312" w:eastAsia="仿宋_GB2312" w:cs="仿宋_GB2312"/>
                <w:kern w:val="0"/>
                <w:szCs w:val="21"/>
              </w:rPr>
              <w:t>379</w:t>
            </w:r>
            <w:r>
              <w:rPr>
                <w:rFonts w:hint="eastAsia" w:ascii="仿宋_GB2312" w:hAnsi="仿宋_GB2312" w:eastAsia="仿宋_GB2312" w:cs="仿宋_GB2312"/>
                <w:kern w:val="0"/>
                <w:szCs w:val="21"/>
              </w:rPr>
              <w:t>号</w:t>
            </w:r>
            <w:r>
              <w:rPr>
                <w:rFonts w:ascii="仿宋_GB2312" w:hAnsi="仿宋_GB2312" w:eastAsia="仿宋_GB2312" w:cs="仿宋_GB2312"/>
                <w:kern w:val="0"/>
                <w:szCs w:val="21"/>
              </w:rPr>
              <w:t>（山东科技大学南门东200</w:t>
            </w:r>
            <w:r>
              <w:rPr>
                <w:rFonts w:hint="eastAsia" w:ascii="仿宋_GB2312" w:hAnsi="仿宋_GB2312" w:eastAsia="仿宋_GB2312" w:cs="仿宋_GB2312"/>
                <w:kern w:val="0"/>
                <w:szCs w:val="21"/>
              </w:rPr>
              <w:t>米）</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ascii="仿宋_GB2312" w:hAnsi="仿宋_GB2312" w:eastAsia="仿宋_GB2312" w:cs="仿宋_GB2312"/>
                <w:kern w:val="0"/>
                <w:szCs w:val="21"/>
              </w:rPr>
              <w:t>0532—80985111</w:t>
            </w:r>
          </w:p>
        </w:tc>
        <w:tc>
          <w:tcPr>
            <w:tcW w:w="988"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862" w:hRule="atLeast"/>
        </w:trPr>
        <w:tc>
          <w:tcPr>
            <w:tcW w:w="662"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4</w:t>
            </w:r>
          </w:p>
        </w:tc>
        <w:tc>
          <w:tcPr>
            <w:tcW w:w="2649"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青岛宏运大酒店</w:t>
            </w:r>
          </w:p>
        </w:tc>
        <w:tc>
          <w:tcPr>
            <w:tcW w:w="3480"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ascii="仿宋_GB2312" w:hAnsi="仿宋_GB2312" w:eastAsia="仿宋_GB2312" w:cs="仿宋_GB2312"/>
                <w:kern w:val="0"/>
                <w:szCs w:val="21"/>
              </w:rPr>
              <w:t>青岛市黄岛区香江路227号（距离山东科技大学9公里）</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ascii="仿宋_GB2312" w:hAnsi="仿宋_GB2312" w:eastAsia="仿宋_GB2312" w:cs="仿宋_GB2312"/>
                <w:kern w:val="0"/>
                <w:szCs w:val="21"/>
              </w:rPr>
              <w:t>0532-86897888</w:t>
            </w:r>
          </w:p>
        </w:tc>
        <w:tc>
          <w:tcPr>
            <w:tcW w:w="988"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862" w:hRule="atLeast"/>
        </w:trPr>
        <w:tc>
          <w:tcPr>
            <w:tcW w:w="662"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5</w:t>
            </w:r>
          </w:p>
        </w:tc>
        <w:tc>
          <w:tcPr>
            <w:tcW w:w="2649"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畅春园大酒店</w:t>
            </w:r>
          </w:p>
        </w:tc>
        <w:tc>
          <w:tcPr>
            <w:tcW w:w="3480"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hint="eastAsia" w:ascii="仿宋_GB2312" w:hAnsi="仿宋_GB2312" w:eastAsia="仿宋_GB2312" w:cs="仿宋_GB2312"/>
                <w:kern w:val="0"/>
                <w:szCs w:val="21"/>
              </w:rPr>
              <w:t>青岛开发区江山中路178号（距离山东科技大学6公里）</w:t>
            </w:r>
          </w:p>
        </w:tc>
        <w:tc>
          <w:tcPr>
            <w:tcW w:w="1821"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r>
              <w:rPr>
                <w:rFonts w:ascii="仿宋_GB2312" w:hAnsi="仿宋_GB2312" w:eastAsia="仿宋_GB2312" w:cs="仿宋_GB2312"/>
                <w:kern w:val="0"/>
                <w:szCs w:val="21"/>
              </w:rPr>
              <w:t>0532—86828008</w:t>
            </w:r>
          </w:p>
        </w:tc>
        <w:tc>
          <w:tcPr>
            <w:tcW w:w="988" w:type="dxa"/>
            <w:tcBorders>
              <w:top w:val="outset" w:color="auto" w:sz="6" w:space="0"/>
              <w:left w:val="outset" w:color="auto" w:sz="6" w:space="0"/>
              <w:bottom w:val="outset" w:color="auto" w:sz="6" w:space="0"/>
              <w:right w:val="outset" w:color="auto" w:sz="6" w:space="0"/>
            </w:tcBorders>
            <w:vAlign w:val="center"/>
          </w:tcPr>
          <w:p>
            <w:pPr>
              <w:widowControl/>
              <w:shd w:val="clear" w:color="auto" w:fill="FFFFFF"/>
              <w:snapToGrid w:val="0"/>
              <w:spacing w:line="400" w:lineRule="atLeast"/>
              <w:jc w:val="center"/>
              <w:textAlignment w:val="baseline"/>
              <w:outlineLvl w:val="1"/>
              <w:rPr>
                <w:rFonts w:ascii="仿宋_GB2312" w:hAnsi="仿宋_GB2312" w:eastAsia="仿宋_GB2312" w:cs="仿宋_GB2312"/>
                <w:kern w:val="0"/>
                <w:szCs w:val="21"/>
              </w:rPr>
            </w:pPr>
          </w:p>
        </w:tc>
      </w:tr>
    </w:tbl>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40BE9"/>
    <w:rsid w:val="00000B4A"/>
    <w:rsid w:val="00022C6E"/>
    <w:rsid w:val="000775B0"/>
    <w:rsid w:val="000E0C19"/>
    <w:rsid w:val="00106660"/>
    <w:rsid w:val="00122D27"/>
    <w:rsid w:val="001450FA"/>
    <w:rsid w:val="001837D0"/>
    <w:rsid w:val="00190A69"/>
    <w:rsid w:val="001A520E"/>
    <w:rsid w:val="001B4337"/>
    <w:rsid w:val="001C7E3D"/>
    <w:rsid w:val="001D162E"/>
    <w:rsid w:val="001E78CB"/>
    <w:rsid w:val="001F3571"/>
    <w:rsid w:val="00210A75"/>
    <w:rsid w:val="00226B16"/>
    <w:rsid w:val="002451FB"/>
    <w:rsid w:val="00261D8A"/>
    <w:rsid w:val="002709B8"/>
    <w:rsid w:val="002A5A83"/>
    <w:rsid w:val="002A6978"/>
    <w:rsid w:val="002E76CD"/>
    <w:rsid w:val="0037522D"/>
    <w:rsid w:val="00387FFB"/>
    <w:rsid w:val="004323F0"/>
    <w:rsid w:val="00446E68"/>
    <w:rsid w:val="00465902"/>
    <w:rsid w:val="0048317B"/>
    <w:rsid w:val="004B2E40"/>
    <w:rsid w:val="00500F4A"/>
    <w:rsid w:val="00502896"/>
    <w:rsid w:val="005220B5"/>
    <w:rsid w:val="00523AD8"/>
    <w:rsid w:val="005325C8"/>
    <w:rsid w:val="005731E2"/>
    <w:rsid w:val="005E6ECE"/>
    <w:rsid w:val="00660BBC"/>
    <w:rsid w:val="00664F2D"/>
    <w:rsid w:val="006C6363"/>
    <w:rsid w:val="00721D66"/>
    <w:rsid w:val="00723ADD"/>
    <w:rsid w:val="007369F4"/>
    <w:rsid w:val="007402EA"/>
    <w:rsid w:val="00776B89"/>
    <w:rsid w:val="007A3893"/>
    <w:rsid w:val="007C0B2C"/>
    <w:rsid w:val="0082211E"/>
    <w:rsid w:val="008325D2"/>
    <w:rsid w:val="008C6034"/>
    <w:rsid w:val="009047BC"/>
    <w:rsid w:val="0093265B"/>
    <w:rsid w:val="00934741"/>
    <w:rsid w:val="0094104E"/>
    <w:rsid w:val="00953927"/>
    <w:rsid w:val="009938F6"/>
    <w:rsid w:val="009D0AF6"/>
    <w:rsid w:val="00A728AB"/>
    <w:rsid w:val="00A770C5"/>
    <w:rsid w:val="00A82CBF"/>
    <w:rsid w:val="00AB28EA"/>
    <w:rsid w:val="00B11C5A"/>
    <w:rsid w:val="00B269BE"/>
    <w:rsid w:val="00B47D92"/>
    <w:rsid w:val="00B57874"/>
    <w:rsid w:val="00B80471"/>
    <w:rsid w:val="00B9790E"/>
    <w:rsid w:val="00BB59CD"/>
    <w:rsid w:val="00C04A24"/>
    <w:rsid w:val="00C166E3"/>
    <w:rsid w:val="00C319E2"/>
    <w:rsid w:val="00C33CCA"/>
    <w:rsid w:val="00C40BE9"/>
    <w:rsid w:val="00CA0479"/>
    <w:rsid w:val="00CA560E"/>
    <w:rsid w:val="00CE626D"/>
    <w:rsid w:val="00D00ABA"/>
    <w:rsid w:val="00E24B0D"/>
    <w:rsid w:val="00E32A1F"/>
    <w:rsid w:val="00E32E92"/>
    <w:rsid w:val="00E37BC9"/>
    <w:rsid w:val="00E535E2"/>
    <w:rsid w:val="00E57114"/>
    <w:rsid w:val="00E740D0"/>
    <w:rsid w:val="00E7789C"/>
    <w:rsid w:val="00E95E5D"/>
    <w:rsid w:val="00F260A6"/>
    <w:rsid w:val="00F30432"/>
    <w:rsid w:val="00F36D78"/>
    <w:rsid w:val="00F523C6"/>
    <w:rsid w:val="00F825D9"/>
    <w:rsid w:val="00F91E36"/>
    <w:rsid w:val="00F97123"/>
    <w:rsid w:val="00FB7C3D"/>
    <w:rsid w:val="00FC2E3F"/>
    <w:rsid w:val="00FD07B5"/>
    <w:rsid w:val="00FE353D"/>
    <w:rsid w:val="45C244BC"/>
    <w:rsid w:val="703C33F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link w:val="12"/>
    <w:unhideWhenUsed/>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spacing w:before="100" w:beforeAutospacing="1" w:after="100" w:afterAutospacing="1"/>
      <w:jc w:val="left"/>
    </w:pPr>
    <w:rPr>
      <w:kern w:val="0"/>
      <w:sz w:val="24"/>
    </w:rPr>
  </w:style>
  <w:style w:type="character" w:styleId="7">
    <w:name w:val="Hyperlink"/>
    <w:basedOn w:val="6"/>
    <w:unhideWhenUsed/>
    <w:uiPriority w:val="99"/>
    <w:rPr>
      <w:color w:val="006A92"/>
      <w:u w:val="none"/>
    </w:rPr>
  </w:style>
  <w:style w:type="paragraph" w:customStyle="1" w:styleId="9">
    <w:name w:val="List Paragraph"/>
    <w:basedOn w:val="1"/>
    <w:qFormat/>
    <w:uiPriority w:val="34"/>
    <w:pPr>
      <w:ind w:firstLine="420" w:firstLineChars="200"/>
    </w:pPr>
  </w:style>
  <w:style w:type="character" w:customStyle="1" w:styleId="10">
    <w:name w:val="页眉 Char"/>
    <w:basedOn w:val="6"/>
    <w:link w:val="4"/>
    <w:semiHidden/>
    <w:uiPriority w:val="99"/>
    <w:rPr>
      <w:sz w:val="18"/>
      <w:szCs w:val="18"/>
    </w:rPr>
  </w:style>
  <w:style w:type="character" w:customStyle="1" w:styleId="11">
    <w:name w:val="页脚 Char"/>
    <w:basedOn w:val="6"/>
    <w:link w:val="3"/>
    <w:semiHidden/>
    <w:uiPriority w:val="99"/>
    <w:rPr>
      <w:sz w:val="18"/>
      <w:szCs w:val="18"/>
    </w:rPr>
  </w:style>
  <w:style w:type="character" w:customStyle="1" w:styleId="12">
    <w:name w:val="标题 2 Char"/>
    <w:basedOn w:val="6"/>
    <w:link w:val="2"/>
    <w:uiPriority w:val="9"/>
    <w:rPr>
      <w:rFonts w:ascii="宋体" w:hAnsi="宋体" w:eastAsia="宋体" w:cs="宋体"/>
      <w:b/>
      <w:bCs/>
      <w:kern w:val="0"/>
      <w:sz w:val="36"/>
      <w:szCs w:val="36"/>
    </w:rPr>
  </w:style>
  <w:style w:type="character" w:customStyle="1" w:styleId="13">
    <w:name w:val="apple-converted-space"/>
    <w:basedOn w:val="6"/>
    <w:uiPriority w:val="0"/>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188</Words>
  <Characters>1073</Characters>
  <Lines>8</Lines>
  <Paragraphs>2</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2015-03-13T02:06:00Z</dcterms:created>
  <dc:creator>朱永帅</dc:creator>
  <cp:lastModifiedBy>lenovo</cp:lastModifiedBy>
  <dcterms:modified xsi:type="dcterms:W3CDTF">2015-04-07T08:50:44Z</dcterms:modified>
  <dc:title>关于举办第十四届山东省大学生科技文化艺术节“羽动三走，拍赢未来”大学生羽毛球比赛的通知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